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intelligence2.xml" ContentType="application/vnd.ms-office.intelligence2+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AF92BAE" w14:paraId="6F6E2686" wp14:textId="14475371">
      <w:pPr>
        <w:pStyle w:val="Normal"/>
        <w:jc w:val="center"/>
        <w:rPr>
          <w:rFonts w:ascii="Times New Roman" w:hAnsi="Times New Roman" w:eastAsia="Times New Roman" w:cs="Times New Roman"/>
          <w:noProof w:val="0"/>
          <w:sz w:val="24"/>
          <w:szCs w:val="24"/>
          <w:lang w:val="en-US"/>
        </w:rPr>
      </w:pPr>
      <w:r w:rsidRPr="0AF92BAE" w:rsidR="58D7C5A5">
        <w:rPr>
          <w:rFonts w:ascii="Times New Roman" w:hAnsi="Times New Roman" w:eastAsia="Times New Roman" w:cs="Times New Roman"/>
          <w:b w:val="1"/>
          <w:bCs w:val="1"/>
          <w:noProof w:val="0"/>
          <w:sz w:val="32"/>
          <w:szCs w:val="32"/>
          <w:lang w:val="en-US"/>
        </w:rPr>
        <w:t>Fraud Prevention</w:t>
      </w:r>
      <w:r w:rsidRPr="0AF92BAE" w:rsidR="58D7C5A5">
        <w:rPr>
          <w:rFonts w:ascii="Times New Roman" w:hAnsi="Times New Roman" w:eastAsia="Times New Roman" w:cs="Times New Roman"/>
          <w:noProof w:val="0"/>
          <w:sz w:val="32"/>
          <w:szCs w:val="32"/>
          <w:lang w:val="en-US"/>
        </w:rPr>
        <w:t xml:space="preserve"> </w:t>
      </w:r>
      <w:r w:rsidRPr="0AF92BAE" w:rsidR="58D7C5A5">
        <w:rPr>
          <w:rFonts w:ascii="Times New Roman" w:hAnsi="Times New Roman" w:eastAsia="Times New Roman" w:cs="Times New Roman"/>
          <w:b w:val="1"/>
          <w:bCs w:val="1"/>
          <w:noProof w:val="0"/>
          <w:sz w:val="32"/>
          <w:szCs w:val="32"/>
          <w:lang w:val="en-US"/>
        </w:rPr>
        <w:t>Policy 3001</w:t>
      </w:r>
      <w:r w:rsidRPr="0AF92BAE" w:rsidR="58D7C5A5">
        <w:rPr>
          <w:rFonts w:ascii="Times New Roman" w:hAnsi="Times New Roman" w:eastAsia="Times New Roman" w:cs="Times New Roman"/>
          <w:noProof w:val="0"/>
          <w:sz w:val="24"/>
          <w:szCs w:val="24"/>
          <w:lang w:val="en-US"/>
        </w:rPr>
        <w:t xml:space="preserve"> </w:t>
      </w:r>
    </w:p>
    <w:p xmlns:wp14="http://schemas.microsoft.com/office/word/2010/wordml" w:rsidP="0AF92BAE" w14:paraId="56D19FBA" wp14:textId="15480BFE">
      <w:p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The Kenosha Schools of Technology Enhanced Curriculum</w:t>
      </w:r>
      <w:r w:rsidRPr="0AF92BAE" w:rsidR="6407C503">
        <w:rPr>
          <w:rFonts w:ascii="Times New Roman" w:hAnsi="Times New Roman" w:eastAsia="Times New Roman" w:cs="Times New Roman"/>
          <w:noProof w:val="0"/>
          <w:color w:val="000000" w:themeColor="text1" w:themeTint="FF" w:themeShade="FF"/>
          <w:sz w:val="24"/>
          <w:szCs w:val="24"/>
          <w:lang w:val="en-US"/>
        </w:rPr>
        <w:t xml:space="preserve">, </w:t>
      </w:r>
      <w:r w:rsidRPr="0AF92BAE" w:rsidR="6407C503">
        <w:rPr>
          <w:rFonts w:ascii="Times New Roman" w:hAnsi="Times New Roman" w:eastAsia="Times New Roman" w:cs="Times New Roman"/>
          <w:noProof w:val="0"/>
          <w:color w:val="000000" w:themeColor="text1" w:themeTint="FF" w:themeShade="FF"/>
          <w:sz w:val="24"/>
          <w:szCs w:val="24"/>
          <w:lang w:val="en-US"/>
        </w:rPr>
        <w:t xml:space="preserve">Inc. </w:t>
      </w:r>
      <w:r w:rsidRPr="0AF92BAE" w:rsidR="58D7C5A5">
        <w:rPr>
          <w:rFonts w:ascii="Times New Roman" w:hAnsi="Times New Roman" w:eastAsia="Times New Roman" w:cs="Times New Roman"/>
          <w:strike w:val="0"/>
          <w:dstrike w:val="0"/>
          <w:noProof w:val="0"/>
          <w:color w:val="000000" w:themeColor="text1" w:themeTint="FF" w:themeShade="FF"/>
          <w:sz w:val="24"/>
          <w:szCs w:val="24"/>
          <w:lang w:val="en-US"/>
        </w:rPr>
        <w:t>Board</w:t>
      </w:r>
      <w:r w:rsidRPr="0AF92BAE" w:rsidR="4CB2A220">
        <w:rPr>
          <w:rFonts w:ascii="Times New Roman" w:hAnsi="Times New Roman" w:eastAsia="Times New Roman" w:cs="Times New Roman"/>
          <w:strike w:val="0"/>
          <w:dstrike w:val="0"/>
          <w:noProof w:val="0"/>
          <w:color w:val="000000" w:themeColor="text1" w:themeTint="FF" w:themeShade="FF"/>
          <w:sz w:val="24"/>
          <w:szCs w:val="24"/>
          <w:lang w:val="en-US"/>
        </w:rPr>
        <w:t xml:space="preserve"> of Directors</w:t>
      </w:r>
      <w:r w:rsidRPr="0AF92BAE" w:rsidR="68A7B9FA">
        <w:rPr>
          <w:rFonts w:ascii="Times New Roman" w:hAnsi="Times New Roman" w:eastAsia="Times New Roman" w:cs="Times New Roman"/>
          <w:strike w:val="0"/>
          <w:dstrike w:val="0"/>
          <w:noProof w:val="0"/>
          <w:color w:val="000000" w:themeColor="text1" w:themeTint="FF" w:themeShade="FF"/>
          <w:sz w:val="24"/>
          <w:szCs w:val="24"/>
          <w:lang w:val="en-US"/>
        </w:rPr>
        <w:t xml:space="preserve"> </w:t>
      </w:r>
      <w:r w:rsidRPr="0AF92BAE" w:rsidR="58D7C5A5">
        <w:rPr>
          <w:rFonts w:ascii="Times New Roman" w:hAnsi="Times New Roman" w:eastAsia="Times New Roman" w:cs="Times New Roman"/>
          <w:strike w:val="0"/>
          <w:dstrike w:val="0"/>
          <w:noProof w:val="0"/>
          <w:color w:val="000000" w:themeColor="text1" w:themeTint="FF" w:themeShade="FF"/>
          <w:sz w:val="24"/>
          <w:szCs w:val="24"/>
          <w:lang w:val="en-US"/>
        </w:rPr>
        <w:t xml:space="preserve">is committed to the responsible stewardship of all resources that are entrusted to the Board, including but not limited to all financial resources that are under the Board’s management and control. Fraud, in any form and perpetrated by any person connected to the Board and </w:t>
      </w:r>
      <w:r w:rsidRPr="0AF92BAE" w:rsidR="58D7C5A5">
        <w:rPr>
          <w:rFonts w:ascii="Times New Roman" w:hAnsi="Times New Roman" w:eastAsia="Times New Roman" w:cs="Times New Roman"/>
          <w:strike w:val="0"/>
          <w:dstrike w:val="0"/>
          <w:noProof w:val="0"/>
          <w:color w:val="000000" w:themeColor="text1" w:themeTint="FF" w:themeShade="FF"/>
          <w:sz w:val="24"/>
          <w:szCs w:val="24"/>
          <w:lang w:val="en-US"/>
        </w:rPr>
        <w:t>K</w:t>
      </w:r>
      <w:r w:rsidRPr="0AF92BAE" w:rsidR="51790B0E">
        <w:rPr>
          <w:rFonts w:ascii="Times New Roman" w:hAnsi="Times New Roman" w:eastAsia="Times New Roman" w:cs="Times New Roman"/>
          <w:strike w:val="0"/>
          <w:dstrike w:val="0"/>
          <w:noProof w:val="0"/>
          <w:color w:val="000000" w:themeColor="text1" w:themeTint="FF" w:themeShade="FF"/>
          <w:sz w:val="24"/>
          <w:szCs w:val="24"/>
          <w:lang w:val="en-US"/>
        </w:rPr>
        <w:t>TEC</w:t>
      </w:r>
      <w:r w:rsidRPr="0AF92BAE" w:rsidR="79E31489">
        <w:rPr>
          <w:rFonts w:ascii="Times New Roman" w:hAnsi="Times New Roman" w:eastAsia="Times New Roman" w:cs="Times New Roman"/>
          <w:strike w:val="0"/>
          <w:dstrike w:val="0"/>
          <w:noProof w:val="0"/>
          <w:color w:val="000000" w:themeColor="text1" w:themeTint="FF" w:themeShade="FF"/>
          <w:sz w:val="24"/>
          <w:szCs w:val="24"/>
          <w:lang w:val="en-US"/>
        </w:rPr>
        <w:t xml:space="preserve"> Schools of Innovation</w:t>
      </w:r>
      <w:r w:rsidRPr="0AF92BAE" w:rsidR="58D7C5A5">
        <w:rPr>
          <w:rFonts w:ascii="Times New Roman" w:hAnsi="Times New Roman" w:eastAsia="Times New Roman" w:cs="Times New Roman"/>
          <w:strike w:val="0"/>
          <w:dstrike w:val="0"/>
          <w:noProof w:val="0"/>
          <w:color w:val="000000" w:themeColor="text1" w:themeTint="FF" w:themeShade="FF"/>
          <w:sz w:val="24"/>
          <w:szCs w:val="24"/>
          <w:lang w:val="en-US"/>
        </w:rPr>
        <w:t xml:space="preserve"> </w:t>
      </w:r>
      <w:r w:rsidRPr="0AF92BAE" w:rsidR="58D7C5A5">
        <w:rPr>
          <w:rFonts w:ascii="Times New Roman" w:hAnsi="Times New Roman" w:eastAsia="Times New Roman" w:cs="Times New Roman"/>
          <w:strike w:val="0"/>
          <w:dstrike w:val="0"/>
          <w:noProof w:val="0"/>
          <w:color w:val="000000" w:themeColor="text1" w:themeTint="FF" w:themeShade="FF"/>
          <w:sz w:val="24"/>
          <w:szCs w:val="24"/>
          <w:lang w:val="en-US"/>
        </w:rPr>
        <w:t xml:space="preserve">(“The School”), interferes with this commitment. Fraud can exist even in situations that do not involve the receipt of an improper private benefit. Examples of conduct that the Board prohibits and considers </w:t>
      </w:r>
      <w:bookmarkStart w:name="_Int_9XmaWag3" w:id="1887369144"/>
      <w:r w:rsidRPr="0AF92BAE" w:rsidR="58D7C5A5">
        <w:rPr>
          <w:rFonts w:ascii="Times New Roman" w:hAnsi="Times New Roman" w:eastAsia="Times New Roman" w:cs="Times New Roman"/>
          <w:noProof w:val="0"/>
          <w:color w:val="000000" w:themeColor="text1" w:themeTint="FF" w:themeShade="FF"/>
          <w:sz w:val="24"/>
          <w:szCs w:val="24"/>
          <w:lang w:val="en-US"/>
        </w:rPr>
        <w:t>to involve</w:t>
      </w:r>
      <w:bookmarkEnd w:id="1887369144"/>
      <w:r w:rsidRPr="0AF92BAE" w:rsidR="58D7C5A5">
        <w:rPr>
          <w:rFonts w:ascii="Times New Roman" w:hAnsi="Times New Roman" w:eastAsia="Times New Roman" w:cs="Times New Roman"/>
          <w:noProof w:val="0"/>
          <w:color w:val="000000" w:themeColor="text1" w:themeTint="FF" w:themeShade="FF"/>
          <w:sz w:val="24"/>
          <w:szCs w:val="24"/>
          <w:lang w:val="en-US"/>
        </w:rPr>
        <w:t xml:space="preserve"> fraud include the following: </w:t>
      </w:r>
    </w:p>
    <w:p xmlns:wp14="http://schemas.microsoft.com/office/word/2010/wordml" w:rsidP="79A2E405" w14:paraId="6080B58A" wp14:textId="2894FEA7">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 </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Theft, misappropriation, or conversion; </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79A2E405" w14:paraId="67AB3DCF" wp14:textId="2C660E06">
      <w:pPr>
        <w:pStyle w:val="ListParagraph"/>
        <w:numPr>
          <w:ilvl w:val="0"/>
          <w:numId w:val="2"/>
        </w:num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Bribery, including certain quid pro quo arrangements and giving or receiving kickbacks;</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79A2E405" w14:paraId="0F0E7090" wp14:textId="05097195">
      <w:pPr>
        <w:pStyle w:val="ListParagraph"/>
        <w:numPr>
          <w:ilvl w:val="0"/>
          <w:numId w:val="3"/>
        </w:num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The making of false claims, false records, false certifications, or other false statements; </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79A2E405" w14:paraId="727E3754" wp14:textId="1206A337">
      <w:pPr>
        <w:pStyle w:val="ListParagraph"/>
        <w:numPr>
          <w:ilvl w:val="0"/>
          <w:numId w:val="4"/>
        </w:num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Lack of performance of an obligation while accepting consideration for such performance; </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79A2E405" w14:paraId="638E2BB5" wp14:textId="2E6053AF">
      <w:pPr>
        <w:pStyle w:val="ListParagraph"/>
        <w:numPr>
          <w:ilvl w:val="0"/>
          <w:numId w:val="5"/>
        </w:num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Self-dealing or arranging for other private benefits that are contrary to the public interest, including making or receiving overpayments; </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79A2E405" w14:paraId="5F1EC95F" wp14:textId="51B12A41">
      <w:pPr>
        <w:pStyle w:val="ListParagraph"/>
        <w:numPr>
          <w:ilvl w:val="0"/>
          <w:numId w:val="6"/>
        </w:num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Providing information or making a representation that is intentionally incomplete or misleading, including failing to fully cooperate and be fully forthcoming in any investigation into </w:t>
      </w:r>
      <w:r w:rsidRPr="0AF92BAE" w:rsidR="58D7C5A5">
        <w:rPr>
          <w:rFonts w:ascii="Times New Roman" w:hAnsi="Times New Roman" w:eastAsia="Times New Roman" w:cs="Times New Roman"/>
          <w:noProof w:val="0"/>
          <w:color w:val="000000" w:themeColor="text1" w:themeTint="FF" w:themeShade="FF"/>
          <w:sz w:val="24"/>
          <w:szCs w:val="24"/>
          <w:lang w:val="en-US"/>
        </w:rPr>
        <w:t>possible wrongdoing</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0AF92BAE" w14:paraId="597E07CD" wp14:textId="52A95EAF">
      <w:pPr>
        <w:pStyle w:val="ListParagraph"/>
        <w:numPr>
          <w:ilvl w:val="0"/>
          <w:numId w:val="7"/>
        </w:num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Covering up wrongdoing (e.g., by destroying evidence); </w:t>
      </w:r>
    </w:p>
    <w:p xmlns:wp14="http://schemas.microsoft.com/office/word/2010/wordml" w:rsidP="0AF92BAE" w14:paraId="731628CC" wp14:textId="5A081FA0">
      <w:pPr>
        <w:pStyle w:val="ListParagraph"/>
        <w:numPr>
          <w:ilvl w:val="0"/>
          <w:numId w:val="8"/>
        </w:num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The failure to receive, use, or </w:t>
      </w:r>
      <w:r w:rsidRPr="0AF92BAE" w:rsidR="58D7C5A5">
        <w:rPr>
          <w:rFonts w:ascii="Times New Roman" w:hAnsi="Times New Roman" w:eastAsia="Times New Roman" w:cs="Times New Roman"/>
          <w:noProof w:val="0"/>
          <w:color w:val="000000" w:themeColor="text1" w:themeTint="FF" w:themeShade="FF"/>
          <w:sz w:val="24"/>
          <w:szCs w:val="24"/>
          <w:lang w:val="en-US"/>
        </w:rPr>
        <w:t>expend</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resources for their intended or authorized public purpose, including the gross mismanagement of The School-controlled resources or engaging in non-authorized transactions; or </w:t>
      </w:r>
    </w:p>
    <w:p xmlns:wp14="http://schemas.microsoft.com/office/word/2010/wordml" w:rsidP="79A2E405" w14:paraId="69F3059D" wp14:textId="22630CCC">
      <w:pPr>
        <w:pStyle w:val="ListParagraph"/>
        <w:numPr>
          <w:ilvl w:val="0"/>
          <w:numId w:val="9"/>
        </w:num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Aiding another person’s fraudulent conduct. </w:t>
      </w:r>
    </w:p>
    <w:p xmlns:wp14="http://schemas.microsoft.com/office/word/2010/wordml" w:rsidP="0AF92BAE" w14:paraId="0149567E" wp14:textId="611E8EC0">
      <w:p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To </w:t>
      </w:r>
      <w:r w:rsidRPr="0AF92BAE" w:rsidR="58D7C5A5">
        <w:rPr>
          <w:rFonts w:ascii="Times New Roman" w:hAnsi="Times New Roman" w:eastAsia="Times New Roman" w:cs="Times New Roman"/>
          <w:noProof w:val="0"/>
          <w:color w:val="000000" w:themeColor="text1" w:themeTint="FF" w:themeShade="FF"/>
          <w:sz w:val="24"/>
          <w:szCs w:val="24"/>
          <w:lang w:val="en-US"/>
        </w:rPr>
        <w:t>assist</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with the prevention, mitigation, and prosecution of fraudulent activity, the Board directs the administration to: </w:t>
      </w:r>
    </w:p>
    <w:p xmlns:wp14="http://schemas.microsoft.com/office/word/2010/wordml" w:rsidP="0AF92BAE" w14:paraId="56226A1B" wp14:textId="2A09560D">
      <w:pPr>
        <w:pStyle w:val="ListParagraph"/>
        <w:numPr>
          <w:ilvl w:val="0"/>
          <w:numId w:val="10"/>
        </w:num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Establish, model, and enforce strong ethical standards in all The School programs and operations; </w:t>
      </w:r>
    </w:p>
    <w:p xmlns:wp14="http://schemas.microsoft.com/office/word/2010/wordml" w:rsidP="0AF92BAE" w14:paraId="202C1EEF" wp14:textId="36267BB2">
      <w:pPr>
        <w:pStyle w:val="ListParagraph"/>
        <w:numPr>
          <w:ilvl w:val="0"/>
          <w:numId w:val="11"/>
        </w:num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Implement and </w:t>
      </w:r>
      <w:r w:rsidRPr="0AF92BAE" w:rsidR="58D7C5A5">
        <w:rPr>
          <w:rFonts w:ascii="Times New Roman" w:hAnsi="Times New Roman" w:eastAsia="Times New Roman" w:cs="Times New Roman"/>
          <w:noProof w:val="0"/>
          <w:color w:val="000000" w:themeColor="text1" w:themeTint="FF" w:themeShade="FF"/>
          <w:sz w:val="24"/>
          <w:szCs w:val="24"/>
          <w:lang w:val="en-US"/>
        </w:rPr>
        <w:t>monitor</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strong internal controls (i.e., systems and procedures) that can limit opportunities to engage in fraudulent conduct, </w:t>
      </w:r>
      <w:r w:rsidRPr="0AF92BAE" w:rsidR="58D7C5A5">
        <w:rPr>
          <w:rFonts w:ascii="Times New Roman" w:hAnsi="Times New Roman" w:eastAsia="Times New Roman" w:cs="Times New Roman"/>
          <w:noProof w:val="0"/>
          <w:color w:val="000000" w:themeColor="text1" w:themeTint="FF" w:themeShade="FF"/>
          <w:sz w:val="24"/>
          <w:szCs w:val="24"/>
          <w:lang w:val="en-US"/>
        </w:rPr>
        <w:t>identify</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irregularities, and reveal evidence of fraudulent conduct after it occurs; </w:t>
      </w:r>
    </w:p>
    <w:p xmlns:wp14="http://schemas.microsoft.com/office/word/2010/wordml" w:rsidP="0AF92BAE" w14:paraId="1D72E478" wp14:textId="526B92B6">
      <w:pPr>
        <w:pStyle w:val="ListParagraph"/>
        <w:numPr>
          <w:ilvl w:val="0"/>
          <w:numId w:val="12"/>
        </w:num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Create and foster a climate that encourages and </w:t>
      </w:r>
      <w:r w:rsidRPr="0AF92BAE" w:rsidR="58D7C5A5">
        <w:rPr>
          <w:rFonts w:ascii="Times New Roman" w:hAnsi="Times New Roman" w:eastAsia="Times New Roman" w:cs="Times New Roman"/>
          <w:noProof w:val="0"/>
          <w:color w:val="000000" w:themeColor="text1" w:themeTint="FF" w:themeShade="FF"/>
          <w:sz w:val="24"/>
          <w:szCs w:val="24"/>
          <w:lang w:val="en-US"/>
        </w:rPr>
        <w:t>facilitates</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the </w:t>
      </w:r>
      <w:r w:rsidRPr="0AF92BAE" w:rsidR="58D7C5A5">
        <w:rPr>
          <w:rFonts w:ascii="Times New Roman" w:hAnsi="Times New Roman" w:eastAsia="Times New Roman" w:cs="Times New Roman"/>
          <w:noProof w:val="0"/>
          <w:color w:val="000000" w:themeColor="text1" w:themeTint="FF" w:themeShade="FF"/>
          <w:sz w:val="24"/>
          <w:szCs w:val="24"/>
          <w:lang w:val="en-US"/>
        </w:rPr>
        <w:t>timely</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reporting of fraud, suspected fraud, or suspicious circumstances that should be further investigated; </w:t>
      </w:r>
    </w:p>
    <w:p xmlns:wp14="http://schemas.microsoft.com/office/word/2010/wordml" w:rsidP="79A2E405" w14:paraId="0C7712F2" wp14:textId="608F8075">
      <w:pPr>
        <w:pStyle w:val="ListParagraph"/>
        <w:numPr>
          <w:ilvl w:val="0"/>
          <w:numId w:val="13"/>
        </w:num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Diligently investigate all </w:t>
      </w:r>
      <w:r w:rsidRPr="0AF92BAE" w:rsidR="58D7C5A5">
        <w:rPr>
          <w:rFonts w:ascii="Times New Roman" w:hAnsi="Times New Roman" w:eastAsia="Times New Roman" w:cs="Times New Roman"/>
          <w:noProof w:val="0"/>
          <w:color w:val="000000" w:themeColor="text1" w:themeTint="FF" w:themeShade="FF"/>
          <w:sz w:val="24"/>
          <w:szCs w:val="24"/>
          <w:lang w:val="en-US"/>
        </w:rPr>
        <w:t>reasonably credible</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reports of fraud or </w:t>
      </w:r>
      <w:r w:rsidRPr="0AF92BAE" w:rsidR="58D7C5A5">
        <w:rPr>
          <w:rFonts w:ascii="Times New Roman" w:hAnsi="Times New Roman" w:eastAsia="Times New Roman" w:cs="Times New Roman"/>
          <w:noProof w:val="0"/>
          <w:color w:val="000000" w:themeColor="text1" w:themeTint="FF" w:themeShade="FF"/>
          <w:sz w:val="24"/>
          <w:szCs w:val="24"/>
          <w:lang w:val="en-US"/>
        </w:rPr>
        <w:t>possible fraud</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and </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79A2E405" w14:paraId="15E6A03C" wp14:textId="0904502B">
      <w:pPr>
        <w:pStyle w:val="ListParagraph"/>
        <w:numPr>
          <w:ilvl w:val="0"/>
          <w:numId w:val="14"/>
        </w:num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When any instance of fraud is substantiated, engage in </w:t>
      </w:r>
      <w:r w:rsidRPr="0AF92BAE" w:rsidR="58D7C5A5">
        <w:rPr>
          <w:rFonts w:ascii="Times New Roman" w:hAnsi="Times New Roman" w:eastAsia="Times New Roman" w:cs="Times New Roman"/>
          <w:noProof w:val="0"/>
          <w:color w:val="000000" w:themeColor="text1" w:themeTint="FF" w:themeShade="FF"/>
          <w:sz w:val="24"/>
          <w:szCs w:val="24"/>
          <w:lang w:val="en-US"/>
        </w:rPr>
        <w:t>appropriate follow-up</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including making </w:t>
      </w:r>
      <w:r w:rsidRPr="0AF92BAE" w:rsidR="58D7C5A5">
        <w:rPr>
          <w:rFonts w:ascii="Times New Roman" w:hAnsi="Times New Roman" w:eastAsia="Times New Roman" w:cs="Times New Roman"/>
          <w:noProof w:val="0"/>
          <w:color w:val="000000" w:themeColor="text1" w:themeTint="FF" w:themeShade="FF"/>
          <w:sz w:val="24"/>
          <w:szCs w:val="24"/>
          <w:lang w:val="en-US"/>
        </w:rPr>
        <w:t>additional</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state or federal reports and pursuing </w:t>
      </w:r>
      <w:r w:rsidRPr="0AF92BAE" w:rsidR="58D7C5A5">
        <w:rPr>
          <w:rFonts w:ascii="Times New Roman" w:hAnsi="Times New Roman" w:eastAsia="Times New Roman" w:cs="Times New Roman"/>
          <w:noProof w:val="0"/>
          <w:color w:val="000000" w:themeColor="text1" w:themeTint="FF" w:themeShade="FF"/>
          <w:sz w:val="24"/>
          <w:szCs w:val="24"/>
          <w:lang w:val="en-US"/>
        </w:rPr>
        <w:t>appropriate consequences</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and remedies (such as disciplinary action and/or referral for possible legal action). </w:t>
      </w:r>
    </w:p>
    <w:p xmlns:wp14="http://schemas.microsoft.com/office/word/2010/wordml" w:rsidP="0AF92BAE" w14:paraId="59773572" wp14:textId="7E02535A">
      <w:p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u w:val="single"/>
          <w:lang w:val="en-US"/>
        </w:rPr>
        <w:t>Reports and Investigations of Fraud or Suspected Fraud</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0AF92BAE" w14:paraId="1610049B" wp14:textId="1B1A4B27">
      <w:p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Except in situations where an employee exercises a legal right to make a confidential report to an external agency or to participate in an official investigation or legal proceeding that is not disclosed to his or her employer, any employee who has knowledge of or who has reason to suspect fraud or any similar impropriety in relation to any aspect of The School programs or operations shall immediately report the relevant circumstances to his or her supervisor and/or to the Chief Executive Officer (“CEO”). In the event the concern or complaint involves the CEO, the concern shall be brought to the attention of the Board President. Such reports may involve or relate to the conduct of any person, including The School employees, Board members, volunteers, consultants, vendors, </w:t>
      </w:r>
      <w:r w:rsidRPr="0AF92BAE" w:rsidR="58D7C5A5">
        <w:rPr>
          <w:rFonts w:ascii="Times New Roman" w:hAnsi="Times New Roman" w:eastAsia="Times New Roman" w:cs="Times New Roman"/>
          <w:noProof w:val="0"/>
          <w:color w:val="000000" w:themeColor="text1" w:themeTint="FF" w:themeShade="FF"/>
          <w:sz w:val="24"/>
          <w:szCs w:val="24"/>
          <w:lang w:val="en-US"/>
        </w:rPr>
        <w:t>contractors</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and other parties </w:t>
      </w:r>
      <w:r w:rsidRPr="0AF92BAE" w:rsidR="58D7C5A5">
        <w:rPr>
          <w:rFonts w:ascii="Times New Roman" w:hAnsi="Times New Roman" w:eastAsia="Times New Roman" w:cs="Times New Roman"/>
          <w:noProof w:val="0"/>
          <w:color w:val="000000" w:themeColor="text1" w:themeTint="FF" w:themeShade="FF"/>
          <w:sz w:val="24"/>
          <w:szCs w:val="24"/>
          <w:lang w:val="en-US"/>
        </w:rPr>
        <w:t>maintaining</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any business or programmatic relationship with The School. </w:t>
      </w:r>
    </w:p>
    <w:p xmlns:wp14="http://schemas.microsoft.com/office/word/2010/wordml" w:rsidP="0AF92BAE" w14:paraId="6758DFD0" wp14:textId="53D54836">
      <w:p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In directing employees to make the internal reports referenced in the previous paragraph, The School shall in no way prevent or interfere with an employee making a report or providing information to a state or federal regulatory or law enforcement agency (including the U.S. Department of Education’s Office of Inspector General) or to any court or grand jury. </w:t>
      </w:r>
    </w:p>
    <w:p xmlns:wp14="http://schemas.microsoft.com/office/word/2010/wordml" w:rsidP="0AF92BAE" w14:paraId="6D76183E" wp14:textId="02A6CFF8">
      <w:p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The Board also encourages any other person who has knowledge of or who has reason to suspect fraud or some other similar impropriety in relation to any aspect of The School programs or operations to report the relevant circumstances to the CEO or board president. </w:t>
      </w:r>
    </w:p>
    <w:p xmlns:wp14="http://schemas.microsoft.com/office/word/2010/wordml" w:rsidP="0AF92BAE" w14:paraId="2A6F3F92" wp14:textId="098C95D6">
      <w:p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No official, employee, or agent of The School may retaliate or discriminate against any person who, acting reasonably and in good faith, has filed a report under this policy or </w:t>
      </w:r>
      <w:r w:rsidRPr="0AF92BAE" w:rsidR="58D7C5A5">
        <w:rPr>
          <w:rFonts w:ascii="Times New Roman" w:hAnsi="Times New Roman" w:eastAsia="Times New Roman" w:cs="Times New Roman"/>
          <w:noProof w:val="0"/>
          <w:color w:val="000000" w:themeColor="text1" w:themeTint="FF" w:themeShade="FF"/>
          <w:sz w:val="24"/>
          <w:szCs w:val="24"/>
          <w:lang w:val="en-US"/>
        </w:rPr>
        <w:t>participated</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in any investigation related to a report of fraud, suspected fraud, or other similar impropriety. In connection with employees, prohibited retaliation and discrimination include discharge, demotion, or other adverse employment actions based upon an employee’s protected activity. </w:t>
      </w:r>
    </w:p>
    <w:p xmlns:wp14="http://schemas.microsoft.com/office/word/2010/wordml" w:rsidP="0AF92BAE" w14:paraId="5863D90D" wp14:textId="5787633D">
      <w:pPr>
        <w:jc w:val="both"/>
        <w:rPr>
          <w:rFonts w:ascii="Times New Roman" w:hAnsi="Times New Roman" w:eastAsia="Times New Roman" w:cs="Times New Roman"/>
          <w:noProof w:val="0"/>
          <w:color w:val="000000" w:themeColor="text1" w:themeTint="FF" w:themeShade="FF"/>
          <w:sz w:val="24"/>
          <w:szCs w:val="24"/>
          <w:lang w:val="en-US"/>
        </w:rPr>
      </w:pPr>
      <w:r w:rsidRPr="0AF92BAE" w:rsidR="58D7C5A5">
        <w:rPr>
          <w:rFonts w:ascii="Times New Roman" w:hAnsi="Times New Roman" w:eastAsia="Times New Roman" w:cs="Times New Roman"/>
          <w:noProof w:val="0"/>
          <w:color w:val="000000" w:themeColor="text1" w:themeTint="FF" w:themeShade="FF"/>
          <w:sz w:val="24"/>
          <w:szCs w:val="24"/>
          <w:lang w:val="en-US"/>
        </w:rPr>
        <w:t xml:space="preserve"> Following a report of alleged or suspected fraud, and except in the case of a report involving his or her own actions, the CEO shall </w:t>
      </w:r>
      <w:r w:rsidRPr="0AF92BAE" w:rsidR="58D7C5A5">
        <w:rPr>
          <w:rFonts w:ascii="Times New Roman" w:hAnsi="Times New Roman" w:eastAsia="Times New Roman" w:cs="Times New Roman"/>
          <w:noProof w:val="0"/>
          <w:color w:val="000000" w:themeColor="text1" w:themeTint="FF" w:themeShade="FF"/>
          <w:sz w:val="24"/>
          <w:szCs w:val="24"/>
          <w:lang w:val="en-US"/>
        </w:rPr>
        <w:t>be responsible for</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w:t>
      </w:r>
      <w:r w:rsidRPr="0AF92BAE" w:rsidR="58D7C5A5">
        <w:rPr>
          <w:rFonts w:ascii="Times New Roman" w:hAnsi="Times New Roman" w:eastAsia="Times New Roman" w:cs="Times New Roman"/>
          <w:noProof w:val="0"/>
          <w:color w:val="000000" w:themeColor="text1" w:themeTint="FF" w:themeShade="FF"/>
          <w:sz w:val="24"/>
          <w:szCs w:val="24"/>
          <w:lang w:val="en-US"/>
        </w:rPr>
        <w:t>initiating</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necessary investigations. Whenever necessary or </w:t>
      </w:r>
      <w:r w:rsidRPr="0AF92BAE" w:rsidR="58D7C5A5">
        <w:rPr>
          <w:rFonts w:ascii="Times New Roman" w:hAnsi="Times New Roman" w:eastAsia="Times New Roman" w:cs="Times New Roman"/>
          <w:noProof w:val="0"/>
          <w:color w:val="000000" w:themeColor="text1" w:themeTint="FF" w:themeShade="FF"/>
          <w:sz w:val="24"/>
          <w:szCs w:val="24"/>
          <w:lang w:val="en-US"/>
        </w:rPr>
        <w:t>appropriate</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investigations will be conducted in coordination with The School’s legal counsel and/or with other internal or external departments, agencies, or officials. Although strict and absolute confidentiality cannot be guaranteed, the confidentiality concerns of all involved parties shall be a consideration in the </w:t>
      </w:r>
      <w:bookmarkStart w:name="_Int_8MUEU9TN" w:id="397543239"/>
      <w:r w:rsidRPr="0AF92BAE" w:rsidR="58D7C5A5">
        <w:rPr>
          <w:rFonts w:ascii="Times New Roman" w:hAnsi="Times New Roman" w:eastAsia="Times New Roman" w:cs="Times New Roman"/>
          <w:noProof w:val="0"/>
          <w:color w:val="000000" w:themeColor="text1" w:themeTint="FF" w:themeShade="FF"/>
          <w:sz w:val="24"/>
          <w:szCs w:val="24"/>
          <w:lang w:val="en-US"/>
        </w:rPr>
        <w:t>manner in which</w:t>
      </w:r>
      <w:bookmarkEnd w:id="397543239"/>
      <w:r w:rsidRPr="0AF92BAE" w:rsidR="58D7C5A5">
        <w:rPr>
          <w:rFonts w:ascii="Times New Roman" w:hAnsi="Times New Roman" w:eastAsia="Times New Roman" w:cs="Times New Roman"/>
          <w:noProof w:val="0"/>
          <w:color w:val="000000" w:themeColor="text1" w:themeTint="FF" w:themeShade="FF"/>
          <w:sz w:val="24"/>
          <w:szCs w:val="24"/>
          <w:lang w:val="en-US"/>
        </w:rPr>
        <w:t xml:space="preserve"> any investigation is conducted, including the </w:t>
      </w:r>
      <w:bookmarkStart w:name="_Int_ahfnYxGE" w:id="53299722"/>
      <w:r w:rsidRPr="0AF92BAE" w:rsidR="58D7C5A5">
        <w:rPr>
          <w:rFonts w:ascii="Times New Roman" w:hAnsi="Times New Roman" w:eastAsia="Times New Roman" w:cs="Times New Roman"/>
          <w:noProof w:val="0"/>
          <w:color w:val="000000" w:themeColor="text1" w:themeTint="FF" w:themeShade="FF"/>
          <w:sz w:val="24"/>
          <w:szCs w:val="24"/>
          <w:lang w:val="en-US"/>
        </w:rPr>
        <w:t>manner in which</w:t>
      </w:r>
      <w:bookmarkEnd w:id="53299722"/>
      <w:r w:rsidRPr="0AF92BAE" w:rsidR="58D7C5A5">
        <w:rPr>
          <w:rFonts w:ascii="Times New Roman" w:hAnsi="Times New Roman" w:eastAsia="Times New Roman" w:cs="Times New Roman"/>
          <w:noProof w:val="0"/>
          <w:color w:val="000000" w:themeColor="text1" w:themeTint="FF" w:themeShade="FF"/>
          <w:sz w:val="24"/>
          <w:szCs w:val="24"/>
          <w:lang w:val="en-US"/>
        </w:rPr>
        <w:t xml:space="preserve"> relevant records are </w:t>
      </w:r>
      <w:r w:rsidRPr="0AF92BAE" w:rsidR="58D7C5A5">
        <w:rPr>
          <w:rFonts w:ascii="Times New Roman" w:hAnsi="Times New Roman" w:eastAsia="Times New Roman" w:cs="Times New Roman"/>
          <w:noProof w:val="0"/>
          <w:color w:val="000000" w:themeColor="text1" w:themeTint="FF" w:themeShade="FF"/>
          <w:sz w:val="24"/>
          <w:szCs w:val="24"/>
          <w:lang w:val="en-US"/>
        </w:rPr>
        <w:t>maintained</w:t>
      </w:r>
      <w:r w:rsidRPr="0AF92BAE" w:rsidR="58D7C5A5">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0AF92BAE" w14:paraId="2C078E63" wp14:textId="7EE9478E">
      <w:pPr>
        <w:pStyle w:val="Normal"/>
        <w:jc w:val="both"/>
        <w:rPr>
          <w:rFonts w:ascii="Times New Roman" w:hAnsi="Times New Roman" w:eastAsia="Times New Roman" w:cs="Times New Roman"/>
          <w:noProof w:val="0"/>
          <w:sz w:val="24"/>
          <w:szCs w:val="24"/>
          <w:lang w:val="en-US"/>
        </w:rPr>
      </w:pPr>
      <w:r w:rsidRPr="0AF92BAE" w:rsidR="58D7C5A5">
        <w:rPr>
          <w:rFonts w:ascii="Times New Roman" w:hAnsi="Times New Roman" w:eastAsia="Times New Roman" w:cs="Times New Roman"/>
          <w:noProof w:val="0"/>
          <w:sz w:val="24"/>
          <w:szCs w:val="24"/>
          <w:lang w:val="en-US"/>
        </w:rPr>
        <w:t>To the extent required by federal law, The School shall make a report to the U.S. Department of Education (or other applicable federal agency’s) Office of Inspector General any time The School has credible evidence of the making of any false claims for federal funds or the commission of a violation of any laws pertaining to fraud, conflict of interest, bribery, gratuity, or similar misconduct invol</w:t>
      </w:r>
      <w:r w:rsidRPr="0AF92BAE" w:rsidR="58D7C5A5">
        <w:rPr>
          <w:rFonts w:ascii="Times New Roman" w:hAnsi="Times New Roman" w:eastAsia="Times New Roman" w:cs="Times New Roman"/>
          <w:noProof w:val="0"/>
          <w:sz w:val="24"/>
          <w:szCs w:val="24"/>
          <w:lang w:val="en-US"/>
        </w:rPr>
        <w:t>ving federal funds.</w:t>
      </w:r>
    </w:p>
    <w:p w:rsidR="5E3B01A2" w:rsidP="0AF92BAE" w:rsidRDefault="5E3B01A2" w14:paraId="4D848332" w14:textId="67557ED5">
      <w:pPr>
        <w:rPr>
          <w:rFonts w:ascii="Times New Roman" w:hAnsi="Times New Roman" w:eastAsia="Times New Roman" w:cs="Times New Roman"/>
          <w:noProof w:val="0"/>
          <w:sz w:val="24"/>
          <w:szCs w:val="24"/>
          <w:lang w:val="en-US"/>
        </w:rPr>
      </w:pPr>
      <w:r w:rsidRPr="0AF92BAE" w:rsidR="4C74224D">
        <w:rPr>
          <w:rFonts w:ascii="Times New Roman" w:hAnsi="Times New Roman" w:eastAsia="Times New Roman" w:cs="Times New Roman"/>
          <w:noProof w:val="0"/>
          <w:color w:val="000000" w:themeColor="text1" w:themeTint="FF" w:themeShade="FF"/>
          <w:sz w:val="24"/>
          <w:szCs w:val="24"/>
          <w:lang w:val="en-US"/>
        </w:rPr>
        <w:t> </w:t>
      </w:r>
      <w:r w:rsidRPr="0AF92BAE" w:rsidR="4C74224D">
        <w:rPr>
          <w:rFonts w:ascii="Times New Roman" w:hAnsi="Times New Roman" w:eastAsia="Times New Roman" w:cs="Times New Roman"/>
          <w:noProof w:val="0"/>
          <w:sz w:val="24"/>
          <w:szCs w:val="24"/>
          <w:lang w:val="en-US"/>
        </w:rPr>
        <w:t xml:space="preserve">Adopted August 23, 2021 </w:t>
      </w:r>
    </w:p>
    <w:p w:rsidR="1D02161A" w:rsidP="0AF92BAE" w:rsidRDefault="1D02161A" w14:paraId="595AA385" w14:textId="27B7B163">
      <w:pPr>
        <w:spacing w:before="0" w:beforeAutospacing="off" w:after="160" w:afterAutospacing="off" w:line="259" w:lineRule="auto"/>
        <w:ind w:left="0" w:right="0"/>
        <w:jc w:val="left"/>
        <w:rPr>
          <w:rFonts w:ascii="Times New Roman" w:hAnsi="Times New Roman" w:eastAsia="Times New Roman" w:cs="Times New Roman"/>
          <w:noProof w:val="0"/>
          <w:sz w:val="24"/>
          <w:szCs w:val="24"/>
          <w:lang w:val="en-US"/>
        </w:rPr>
      </w:pPr>
      <w:r w:rsidRPr="0AF92BAE" w:rsidR="1D02161A">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07/13/2026</w:t>
      </w:r>
    </w:p>
    <w:p w:rsidR="0AF92BAE" w:rsidP="0AF92BAE" w:rsidRDefault="0AF92BAE" w14:paraId="6D1ED897" w14:textId="6C98AACE">
      <w:pPr>
        <w:rPr>
          <w:rFonts w:ascii="Times New Roman" w:hAnsi="Times New Roman" w:eastAsia="Times New Roman" w:cs="Times New Roman"/>
          <w:noProof w:val="0"/>
          <w:sz w:val="24"/>
          <w:szCs w:val="24"/>
          <w:lang w:val="en-US"/>
        </w:rPr>
      </w:pPr>
    </w:p>
    <w:p w:rsidR="79A2E405" w:rsidP="79A2E405" w:rsidRDefault="79A2E405" w14:paraId="5638C1F6" w14:textId="30EE4F8C">
      <w:pPr>
        <w:pStyle w:val="Normal"/>
        <w:rPr>
          <w:rFonts w:ascii="Times New Roman" w:hAnsi="Times New Roman" w:eastAsia="Times New Roman" w:cs="Times New Roman"/>
          <w:noProof w:val="0"/>
          <w:sz w:val="24"/>
          <w:szCs w:val="24"/>
          <w:lang w:val="en-US"/>
        </w:rPr>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ahfnYxGE" int2:invalidationBookmarkName="" int2:hashCode="OSvJmvgT/qjOHD" int2:id="xdMBmAPP">
      <int2:state int2:type="AugLoop_Text_Critique" int2:value="Rejected"/>
    </int2:bookmark>
    <int2:bookmark int2:bookmarkName="_Int_8MUEU9TN" int2:invalidationBookmarkName="" int2:hashCode="OSvJmvgT/qjOHD" int2:id="44JSk0TH">
      <int2:state int2:type="AugLoop_Text_Critique" int2:value="Rejected"/>
    </int2:bookmark>
    <int2:bookmark int2:bookmarkName="_Int_9XmaWag3" int2:invalidationBookmarkName="" int2:hashCode="wi2iXfbheW2zET" int2:id="5qoWaToq">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14">
    <w:nsid w:val="53d39496"/>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51fe7cb1"/>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6d92d6dd"/>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3eea1775"/>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49fa12f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51e89dff"/>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6dd071aa"/>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7db92866"/>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7d83f061"/>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1d0acd1"/>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74f5614c"/>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c113285"/>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dd6cb76"/>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f0579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B119E8"/>
    <w:rsid w:val="038D1B28"/>
    <w:rsid w:val="04376C9D"/>
    <w:rsid w:val="05614CB2"/>
    <w:rsid w:val="0AF92BAE"/>
    <w:rsid w:val="0E2BF8BF"/>
    <w:rsid w:val="16E2CD3A"/>
    <w:rsid w:val="1A1A6DFC"/>
    <w:rsid w:val="1D02161A"/>
    <w:rsid w:val="239F0B90"/>
    <w:rsid w:val="2A9424D9"/>
    <w:rsid w:val="34B20EA2"/>
    <w:rsid w:val="37E9AF64"/>
    <w:rsid w:val="381D6BB3"/>
    <w:rsid w:val="389FC179"/>
    <w:rsid w:val="3DC09092"/>
    <w:rsid w:val="3EC7A082"/>
    <w:rsid w:val="444EA2D0"/>
    <w:rsid w:val="48842CB0"/>
    <w:rsid w:val="49028AF5"/>
    <w:rsid w:val="4ACCFCBD"/>
    <w:rsid w:val="4B3ED70E"/>
    <w:rsid w:val="4C74224D"/>
    <w:rsid w:val="4CB2A220"/>
    <w:rsid w:val="4F49AF48"/>
    <w:rsid w:val="51790B0E"/>
    <w:rsid w:val="58D7C5A5"/>
    <w:rsid w:val="596DB95B"/>
    <w:rsid w:val="5C75194D"/>
    <w:rsid w:val="5E3B01A2"/>
    <w:rsid w:val="609BF714"/>
    <w:rsid w:val="6407C503"/>
    <w:rsid w:val="64B119E8"/>
    <w:rsid w:val="660FE613"/>
    <w:rsid w:val="68A7B9FA"/>
    <w:rsid w:val="69B1D09A"/>
    <w:rsid w:val="6D50B412"/>
    <w:rsid w:val="79A2E405"/>
    <w:rsid w:val="79E31489"/>
    <w:rsid w:val="7B67B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119E8"/>
  <w15:chartTrackingRefBased/>
  <w15:docId w15:val="{E785F7E9-FB12-4EA7-97EE-5BD812E37A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microsoft.com/office/2020/10/relationships/intelligence" Target="intelligence2.xml" Id="R991de66c5d614c4c" /><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numbering" Target="numbering.xml" Id="R48a6b3cbb51f4c79"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9923965F-C25B-4F4C-81EA-941F4419DFBE}"/>
</file>

<file path=customXml/itemProps2.xml><?xml version="1.0" encoding="utf-8"?>
<ds:datastoreItem xmlns:ds="http://schemas.openxmlformats.org/officeDocument/2006/customXml" ds:itemID="{E709147B-EAD7-4C7E-95C9-8020D911123A}"/>
</file>

<file path=customXml/itemProps3.xml><?xml version="1.0" encoding="utf-8"?>
<ds:datastoreItem xmlns:ds="http://schemas.openxmlformats.org/officeDocument/2006/customXml" ds:itemID="{F35E1930-80ED-4A04-B734-188D230B2B1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Peggy  Schofield</dc:creator>
  <keywords/>
  <dc:description/>
  <lastModifiedBy>Hailey Patty</lastModifiedBy>
  <dcterms:created xsi:type="dcterms:W3CDTF">2023-02-23T20:40:36.0000000Z</dcterms:created>
  <dcterms:modified xsi:type="dcterms:W3CDTF">2026-07-16T17:13:53.8434933Z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14600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