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92ECF75" w:rsidP="0BE1F0C1" w:rsidRDefault="092ECF75" w14:paraId="7481A160" w14:textId="300AFA0C">
      <w:pPr>
        <w:pStyle w:val="Normal"/>
        <w:jc w:val="center"/>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
        </w:rPr>
      </w:pPr>
      <w:r w:rsidRPr="0BE1F0C1" w:rsidR="092ECF75">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
        </w:rPr>
        <w:t>Graduation Requirements</w:t>
      </w:r>
      <w:r w:rsidRPr="0BE1F0C1" w:rsidR="4E98C074">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
        </w:rPr>
        <w:t xml:space="preserve"> Policy</w:t>
      </w:r>
      <w:r w:rsidRPr="0BE1F0C1" w:rsidR="1FE3985F">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
        </w:rPr>
        <w:t xml:space="preserve"> 5011</w:t>
      </w:r>
    </w:p>
    <w:p w:rsidR="1764C367" w:rsidP="1764C367" w:rsidRDefault="1764C367" w14:paraId="2F6445E9" w14:textId="6EFE3746">
      <w:pPr>
        <w:pStyle w:val="Normal"/>
        <w:jc w:val="center"/>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
        </w:rPr>
      </w:pPr>
    </w:p>
    <w:p w:rsidR="2B5E03F6" w:rsidP="7637BE97" w:rsidRDefault="2B5E03F6" w14:paraId="4E583303" w14:textId="76D9A054">
      <w:pPr>
        <w:pStyle w:val="Normal"/>
        <w:rPr>
          <w:rFonts w:ascii="Times New Roman" w:hAnsi="Times New Roman" w:eastAsia="Times New Roman" w:cs="Times New Roman"/>
          <w:b w:val="1"/>
          <w:bCs w:val="1"/>
          <w:i w:val="0"/>
          <w:iCs w:val="0"/>
          <w:strike w:val="1"/>
          <w:noProof w:val="0"/>
          <w:color w:val="000000" w:themeColor="text1" w:themeTint="FF" w:themeShade="FF"/>
          <w:sz w:val="28"/>
          <w:szCs w:val="28"/>
          <w:highlight w:val="yellow"/>
          <w:u w:val="none"/>
          <w:lang w:val="en"/>
        </w:rPr>
      </w:pPr>
      <w:r w:rsidRPr="7637BE97" w:rsidR="2B5E03F6">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
        </w:rPr>
        <w:t>Core Competencies</w:t>
      </w:r>
    </w:p>
    <w:p w:rsidR="2B5E03F6" w:rsidP="7637BE97" w:rsidRDefault="2B5E03F6" w14:paraId="489872C1" w14:textId="7613B608">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highlight w:val="yellow"/>
          <w:u w:val="none"/>
          <w:lang w:val="en"/>
        </w:rPr>
      </w:pP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Core competencies are composed of specific skills or competencies. </w:t>
      </w:r>
      <w:r w:rsidRPr="7637BE97" w:rsidR="6927DE5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C</w:t>
      </w:r>
      <w:r w:rsidRPr="7637BE97" w:rsidR="3C2392C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ore</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competencies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will be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77A1B80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assigned to and</w:t>
      </w:r>
      <w:r w:rsidRPr="7637BE97" w:rsidR="77A1B80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335255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assessed</w:t>
      </w:r>
      <w:r w:rsidRPr="7637BE97" w:rsidR="335255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during the Seminar.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will use</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evidence from their seminars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to demonstrate proficiency.</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Evidence can be collected throughout their 4 years to access their proficiency in these competencies.</w:t>
      </w:r>
      <w:r w:rsidRPr="7637BE97" w:rsidR="610C463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610C463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can recover missed competencies through a</w:t>
      </w:r>
      <w:r w:rsidRPr="7637BE97" w:rsidR="2BFA261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n agreement</w:t>
      </w:r>
      <w:r w:rsidRPr="7637BE97" w:rsidR="610C463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with staff </w:t>
      </w:r>
      <w:r w:rsidRPr="7637BE97" w:rsidR="3FEB221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in their current seminars. </w:t>
      </w:r>
    </w:p>
    <w:p w:rsidR="4AC915BF" w:rsidP="1764C367" w:rsidRDefault="4AC915BF" w14:paraId="43C0C5DA" w14:textId="4307EFB1">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16"/>
          <w:szCs w:val="16"/>
          <w:u w:val="none"/>
          <w:lang w:val="en"/>
        </w:rPr>
      </w:pPr>
    </w:p>
    <w:p w:rsidR="2B5E03F6" w:rsidP="1764C367" w:rsidRDefault="2B5E03F6" w14:paraId="006847CA" w14:textId="7DE7E880">
      <w:pPr>
        <w:pStyle w:val="Normal"/>
        <w:rPr>
          <w:rFonts w:ascii="Times New Roman" w:hAnsi="Times New Roman" w:eastAsia="Times New Roman" w:cs="Times New Roman"/>
          <w:b w:val="1"/>
          <w:bCs w:val="1"/>
          <w:noProof w:val="0"/>
          <w:sz w:val="16"/>
          <w:szCs w:val="16"/>
          <w:lang w:val="en"/>
        </w:rPr>
      </w:pPr>
      <w:r w:rsidRPr="1764C367" w:rsidR="2B5E03F6">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
        </w:rPr>
        <w:t>Badges</w:t>
      </w:r>
    </w:p>
    <w:p w:rsidR="2B5E03F6" w:rsidP="7637BE97" w:rsidRDefault="2B5E03F6" w14:paraId="69469929" w14:textId="71773433">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Badges are composed of  multidisciplinary </w:t>
      </w:r>
      <w:r w:rsidRPr="7637BE97" w:rsidR="7FF698D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knowledge, skills and abilities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that are necessary for future success. </w:t>
      </w:r>
      <w:r w:rsidRPr="7637BE97" w:rsidR="46B716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Demonstrating mastery in</w:t>
      </w:r>
      <w:r w:rsidRPr="7637BE97" w:rsidR="46B716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438AE7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Core</w:t>
      </w:r>
      <w:r w:rsidRPr="7637BE97" w:rsidR="438AE7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Competencies will result in earning badges required for graduation.</w:t>
      </w:r>
    </w:p>
    <w:p w:rsidR="4AC915BF" w:rsidP="1764C367" w:rsidRDefault="4AC915BF" w14:paraId="09A28D6A" w14:textId="5F338421">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16"/>
          <w:szCs w:val="16"/>
          <w:u w:val="none"/>
          <w:lang w:val="en"/>
        </w:rPr>
      </w:pPr>
    </w:p>
    <w:p w:rsidR="2B5E03F6" w:rsidP="1764C367" w:rsidRDefault="2B5E03F6" w14:paraId="405710CE" w14:textId="2D9483FF">
      <w:pPr>
        <w:pStyle w:val="Normal"/>
        <w:rPr>
          <w:rFonts w:ascii="Times New Roman" w:hAnsi="Times New Roman" w:eastAsia="Times New Roman" w:cs="Times New Roman"/>
          <w:b w:val="1"/>
          <w:bCs w:val="1"/>
          <w:noProof w:val="0"/>
          <w:sz w:val="16"/>
          <w:szCs w:val="16"/>
          <w:lang w:val="en"/>
        </w:rPr>
      </w:pPr>
      <w:r w:rsidRPr="1764C367" w:rsidR="2B5E03F6">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
        </w:rPr>
        <w:t>Content Seminar</w:t>
      </w:r>
    </w:p>
    <w:p w:rsidR="2B5E03F6" w:rsidP="7637BE97" w:rsidRDefault="2B5E03F6" w14:paraId="2947BFBB" w14:textId="66F7C887">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Each seminar is</w:t>
      </w:r>
      <w:r w:rsidRPr="7637BE97" w:rsidR="4C0326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40 days</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They are coded by specific content. These can have multiple codes if cross collaboration is occurring.  (</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i.e.</w:t>
      </w:r>
      <w:r w:rsidRPr="7637BE97" w:rsidR="2B5E03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Industry 4.0 seminar might be coded as both English and History as both content will be delivered).  These will be teacher developed experiences and allow students to use the content to produce evidence for meeting their competencies.</w:t>
      </w:r>
    </w:p>
    <w:p w:rsidR="4AC915BF" w:rsidP="1764C367" w:rsidRDefault="4AC915BF" w14:paraId="75CC2AA4" w14:textId="7A3D7194">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p>
    <w:p w:rsidR="0C9A1048" w:rsidP="1764C367" w:rsidRDefault="0C9A1048" w14:paraId="1B2D2472" w14:textId="262C3052">
      <w:pPr>
        <w:pStyle w:val="Normal"/>
        <w:rPr>
          <w:rFonts w:ascii="Times New Roman" w:hAnsi="Times New Roman" w:eastAsia="Times New Roman" w:cs="Times New Roman"/>
          <w:b w:val="1"/>
          <w:bCs w:val="1"/>
          <w:noProof w:val="0"/>
          <w:sz w:val="16"/>
          <w:szCs w:val="16"/>
          <w:lang w:val="en"/>
        </w:rPr>
      </w:pPr>
      <w:r w:rsidRPr="1764C367" w:rsidR="0C9A1048">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
        </w:rPr>
        <w:t>Credits</w:t>
      </w:r>
    </w:p>
    <w:p w:rsidR="0C9A1048" w:rsidP="7637BE97" w:rsidRDefault="0C9A1048" w14:paraId="5E1F1E38" w14:textId="09FD80A9">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7637BE9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will receive course credit if all tasks and evidence required by their seminar/workshop teacher is submitted. Seminars will result in 0.25 credits</w:t>
      </w:r>
      <w:r w:rsidRPr="7637BE97" w:rsidR="1449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w:t>
      </w:r>
      <w:r w:rsidRPr="7637BE9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Students will need to complete a combination of  seminars </w:t>
      </w:r>
      <w:r w:rsidRPr="7637BE9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in the coded content to meet the credit requirement.   </w:t>
      </w:r>
    </w:p>
    <w:p w:rsidR="4AC915BF" w:rsidP="1764C367" w:rsidRDefault="4AC915BF" w14:paraId="7E5B7AD7" w14:textId="1B66A96B">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16"/>
          <w:szCs w:val="16"/>
          <w:u w:val="none"/>
          <w:lang w:val="en"/>
        </w:rPr>
      </w:pPr>
    </w:p>
    <w:p w:rsidR="4AC915BF" w:rsidP="1764C367" w:rsidRDefault="4AC915BF" w14:paraId="5F6172E1" w14:textId="1FB9DED6">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16"/>
          <w:szCs w:val="16"/>
          <w:u w:val="none"/>
          <w:lang w:val="en"/>
        </w:rPr>
      </w:pPr>
    </w:p>
    <w:p w:rsidR="0C9A1048" w:rsidP="1764C367" w:rsidRDefault="0C9A1048" w14:paraId="04CA67B2" w14:textId="28873B1E">
      <w:pPr>
        <w:pStyle w:val="Normal"/>
        <w:rPr>
          <w:rFonts w:ascii="Times New Roman" w:hAnsi="Times New Roman" w:eastAsia="Times New Roman" w:cs="Times New Roman"/>
          <w:b w:val="1"/>
          <w:bCs w:val="1"/>
          <w:noProof w:val="0"/>
          <w:sz w:val="16"/>
          <w:szCs w:val="16"/>
          <w:lang w:val="en"/>
        </w:rPr>
      </w:pPr>
      <w:r w:rsidRPr="1764C367" w:rsidR="0C9A1048">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
        </w:rPr>
        <w:t>Graduation Requirements</w:t>
      </w:r>
    </w:p>
    <w:p w:rsidR="0C9A1048" w:rsidP="1764C367" w:rsidRDefault="0C9A1048" w14:paraId="1D2BC95B" w14:textId="743DB6AC">
      <w:pPr>
        <w:pStyle w:val="ListParagraph"/>
        <w:numPr>
          <w:ilvl w:val="0"/>
          <w:numId w:val="3"/>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1764C36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need to meet 100% of their badges to graduate.</w:t>
      </w:r>
    </w:p>
    <w:p w:rsidR="0C9A1048" w:rsidP="7637BE97" w:rsidRDefault="0C9A1048" w14:paraId="28445075" w14:textId="597FAAAD">
      <w:pPr>
        <w:pStyle w:val="ListParagraph"/>
        <w:numPr>
          <w:ilvl w:val="0"/>
          <w:numId w:val="3"/>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7637BE9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will need to meet a specific percentage of  their competencies in each badge</w:t>
      </w:r>
      <w:r w:rsidRPr="7637BE9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 xml:space="preserve"> area. (percentage to be determined per department)</w:t>
      </w:r>
    </w:p>
    <w:p w:rsidR="0C9A1048" w:rsidP="1764C367" w:rsidRDefault="0C9A1048" w14:paraId="6B88A8C5" w14:textId="0E35B93E">
      <w:pPr>
        <w:pStyle w:val="ListParagraph"/>
        <w:numPr>
          <w:ilvl w:val="0"/>
          <w:numId w:val="3"/>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pPr>
      <w:r w:rsidRPr="1764C367" w:rsidR="0C9A104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
        </w:rPr>
        <w:t>Students will need gain the credits outlined below based on their chosen seminars in each content area.</w:t>
      </w:r>
    </w:p>
    <w:p w:rsidR="4AC915BF" w:rsidP="1764C367" w:rsidRDefault="4AC915BF" w14:paraId="3F6A8097" w14:textId="3044CEE0">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20"/>
        <w:gridCol w:w="3120"/>
        <w:gridCol w:w="3120"/>
      </w:tblGrid>
      <w:tr w:rsidR="00BE18C8" w:rsidTr="1764C367" w14:paraId="46EFC052" w14:textId="77777777">
        <w:tc>
          <w:tcPr>
            <w:tcW w:w="3120" w:type="dxa"/>
            <w:shd w:val="clear" w:color="auto" w:fill="auto"/>
            <w:tcMar>
              <w:top w:w="100" w:type="dxa"/>
              <w:left w:w="100" w:type="dxa"/>
              <w:bottom w:w="100" w:type="dxa"/>
              <w:right w:w="100" w:type="dxa"/>
            </w:tcMar>
          </w:tcPr>
          <w:p w:rsidR="00BE18C8" w:rsidP="1764C367" w:rsidRDefault="00932800" w14:paraId="20E5869B"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color w:val="434343"/>
                <w:sz w:val="28"/>
                <w:szCs w:val="28"/>
              </w:rPr>
            </w:pPr>
            <w:r w:rsidRPr="1764C367" w:rsidR="00932800">
              <w:rPr>
                <w:rFonts w:ascii="Times New Roman" w:hAnsi="Times New Roman" w:eastAsia="Times New Roman" w:cs="Times New Roman"/>
                <w:b w:val="1"/>
                <w:bCs w:val="1"/>
                <w:color w:val="434343"/>
                <w:sz w:val="28"/>
                <w:szCs w:val="28"/>
              </w:rPr>
              <w:t>Content</w:t>
            </w:r>
          </w:p>
        </w:tc>
        <w:tc>
          <w:tcPr>
            <w:tcW w:w="3120" w:type="dxa"/>
            <w:shd w:val="clear" w:color="auto" w:fill="auto"/>
            <w:tcMar>
              <w:top w:w="100" w:type="dxa"/>
              <w:left w:w="100" w:type="dxa"/>
              <w:bottom w:w="100" w:type="dxa"/>
              <w:right w:w="100" w:type="dxa"/>
            </w:tcMar>
          </w:tcPr>
          <w:p w:rsidR="00BE18C8" w:rsidP="1764C367" w:rsidRDefault="00932800" w14:paraId="2069A860"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color w:val="434343"/>
                <w:sz w:val="28"/>
                <w:szCs w:val="28"/>
              </w:rPr>
            </w:pPr>
            <w:r w:rsidRPr="1764C367" w:rsidR="00932800">
              <w:rPr>
                <w:rFonts w:ascii="Times New Roman" w:hAnsi="Times New Roman" w:eastAsia="Times New Roman" w:cs="Times New Roman"/>
                <w:b w:val="1"/>
                <w:bCs w:val="1"/>
                <w:color w:val="434343"/>
                <w:sz w:val="28"/>
                <w:szCs w:val="28"/>
              </w:rPr>
              <w:t>Credit</w:t>
            </w:r>
          </w:p>
        </w:tc>
        <w:tc>
          <w:tcPr>
            <w:tcW w:w="3120" w:type="dxa"/>
            <w:shd w:val="clear" w:color="auto" w:fill="auto"/>
            <w:tcMar>
              <w:top w:w="100" w:type="dxa"/>
              <w:left w:w="100" w:type="dxa"/>
              <w:bottom w:w="100" w:type="dxa"/>
              <w:right w:w="100" w:type="dxa"/>
            </w:tcMar>
          </w:tcPr>
          <w:p w:rsidR="00BE18C8" w:rsidP="1764C367" w:rsidRDefault="00932800" w14:paraId="106D29F8"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color w:val="434343"/>
                <w:sz w:val="28"/>
                <w:szCs w:val="28"/>
              </w:rPr>
            </w:pPr>
            <w:r w:rsidRPr="1764C367" w:rsidR="00932800">
              <w:rPr>
                <w:rFonts w:ascii="Times New Roman" w:hAnsi="Times New Roman" w:eastAsia="Times New Roman" w:cs="Times New Roman"/>
                <w:b w:val="1"/>
                <w:bCs w:val="1"/>
                <w:color w:val="434343"/>
                <w:sz w:val="28"/>
                <w:szCs w:val="28"/>
              </w:rPr>
              <w:t xml:space="preserve"># </w:t>
            </w:r>
            <w:r w:rsidRPr="1764C367" w:rsidR="00932800">
              <w:rPr>
                <w:rFonts w:ascii="Times New Roman" w:hAnsi="Times New Roman" w:eastAsia="Times New Roman" w:cs="Times New Roman"/>
                <w:b w:val="1"/>
                <w:bCs w:val="1"/>
                <w:color w:val="434343"/>
                <w:sz w:val="28"/>
                <w:szCs w:val="28"/>
              </w:rPr>
              <w:t>of</w:t>
            </w:r>
            <w:r w:rsidRPr="1764C367" w:rsidR="00932800">
              <w:rPr>
                <w:rFonts w:ascii="Times New Roman" w:hAnsi="Times New Roman" w:eastAsia="Times New Roman" w:cs="Times New Roman"/>
                <w:b w:val="1"/>
                <w:bCs w:val="1"/>
                <w:color w:val="434343"/>
                <w:sz w:val="28"/>
                <w:szCs w:val="28"/>
              </w:rPr>
              <w:t xml:space="preserve"> seminars</w:t>
            </w:r>
          </w:p>
        </w:tc>
      </w:tr>
      <w:tr w:rsidR="00BE18C8" w:rsidTr="1764C367" w14:paraId="05C488B3" w14:textId="77777777">
        <w:tc>
          <w:tcPr>
            <w:tcW w:w="3120" w:type="dxa"/>
            <w:shd w:val="clear" w:color="auto" w:fill="D9EAD3"/>
            <w:tcMar>
              <w:top w:w="100" w:type="dxa"/>
              <w:left w:w="100" w:type="dxa"/>
              <w:bottom w:w="100" w:type="dxa"/>
              <w:right w:w="100" w:type="dxa"/>
            </w:tcMar>
          </w:tcPr>
          <w:p w:rsidR="00BE18C8" w:rsidP="1764C367" w:rsidRDefault="00932800" w14:paraId="76B1F096"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English</w:t>
            </w:r>
          </w:p>
        </w:tc>
        <w:tc>
          <w:tcPr>
            <w:tcW w:w="3120" w:type="dxa"/>
            <w:shd w:val="clear" w:color="auto" w:fill="D9EAD3"/>
            <w:tcMar>
              <w:top w:w="100" w:type="dxa"/>
              <w:left w:w="100" w:type="dxa"/>
              <w:bottom w:w="100" w:type="dxa"/>
              <w:right w:w="100" w:type="dxa"/>
            </w:tcMar>
          </w:tcPr>
          <w:p w:rsidR="00BE18C8" w:rsidP="1764C367" w:rsidRDefault="00932800" w14:paraId="2367B2C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3</w:t>
            </w:r>
          </w:p>
        </w:tc>
        <w:tc>
          <w:tcPr>
            <w:tcW w:w="3120" w:type="dxa"/>
            <w:shd w:val="clear" w:color="auto" w:fill="D9EAD3"/>
            <w:tcMar>
              <w:top w:w="100" w:type="dxa"/>
              <w:left w:w="100" w:type="dxa"/>
              <w:bottom w:w="100" w:type="dxa"/>
              <w:right w:w="100" w:type="dxa"/>
            </w:tcMar>
          </w:tcPr>
          <w:p w:rsidR="00BE18C8" w:rsidP="1764C367" w:rsidRDefault="00932800" w14:paraId="5C42B271"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12</w:t>
            </w:r>
          </w:p>
        </w:tc>
      </w:tr>
      <w:tr w:rsidR="00BE18C8" w:rsidTr="1764C367" w14:paraId="1744A74B" w14:textId="77777777">
        <w:tc>
          <w:tcPr>
            <w:tcW w:w="3120" w:type="dxa"/>
            <w:shd w:val="clear" w:color="auto" w:fill="D9EAD3"/>
            <w:tcMar>
              <w:top w:w="100" w:type="dxa"/>
              <w:left w:w="100" w:type="dxa"/>
              <w:bottom w:w="100" w:type="dxa"/>
              <w:right w:w="100" w:type="dxa"/>
            </w:tcMar>
          </w:tcPr>
          <w:p w:rsidR="00BE18C8" w:rsidP="1764C367" w:rsidRDefault="00932800" w14:paraId="5FBCE0DD"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Social Studies</w:t>
            </w:r>
          </w:p>
        </w:tc>
        <w:tc>
          <w:tcPr>
            <w:tcW w:w="3120" w:type="dxa"/>
            <w:shd w:val="clear" w:color="auto" w:fill="D9EAD3"/>
            <w:tcMar>
              <w:top w:w="100" w:type="dxa"/>
              <w:left w:w="100" w:type="dxa"/>
              <w:bottom w:w="100" w:type="dxa"/>
              <w:right w:w="100" w:type="dxa"/>
            </w:tcMar>
          </w:tcPr>
          <w:p w:rsidR="00BE18C8" w:rsidP="1764C367" w:rsidRDefault="00932800" w14:paraId="6C0B7412"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2</w:t>
            </w:r>
          </w:p>
        </w:tc>
        <w:tc>
          <w:tcPr>
            <w:tcW w:w="3120" w:type="dxa"/>
            <w:shd w:val="clear" w:color="auto" w:fill="D9EAD3"/>
            <w:tcMar>
              <w:top w:w="100" w:type="dxa"/>
              <w:left w:w="100" w:type="dxa"/>
              <w:bottom w:w="100" w:type="dxa"/>
              <w:right w:w="100" w:type="dxa"/>
            </w:tcMar>
          </w:tcPr>
          <w:p w:rsidR="00BE18C8" w:rsidP="1764C367" w:rsidRDefault="00932800" w14:paraId="0E70C510"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8</w:t>
            </w:r>
          </w:p>
        </w:tc>
      </w:tr>
      <w:tr w:rsidR="00BE18C8" w:rsidTr="1764C367" w14:paraId="1505745B" w14:textId="77777777">
        <w:tc>
          <w:tcPr>
            <w:tcW w:w="3120" w:type="dxa"/>
            <w:shd w:val="clear" w:color="auto" w:fill="D9EAD3"/>
            <w:tcMar>
              <w:top w:w="100" w:type="dxa"/>
              <w:left w:w="100" w:type="dxa"/>
              <w:bottom w:w="100" w:type="dxa"/>
              <w:right w:w="100" w:type="dxa"/>
            </w:tcMar>
          </w:tcPr>
          <w:p w:rsidR="00BE18C8" w:rsidP="1764C367" w:rsidRDefault="00932800" w14:paraId="3FD2AFB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Math</w:t>
            </w:r>
          </w:p>
        </w:tc>
        <w:tc>
          <w:tcPr>
            <w:tcW w:w="3120" w:type="dxa"/>
            <w:shd w:val="clear" w:color="auto" w:fill="D9EAD3"/>
            <w:tcMar>
              <w:top w:w="100" w:type="dxa"/>
              <w:left w:w="100" w:type="dxa"/>
              <w:bottom w:w="100" w:type="dxa"/>
              <w:right w:w="100" w:type="dxa"/>
            </w:tcMar>
          </w:tcPr>
          <w:p w:rsidR="00BE18C8" w:rsidP="1764C367" w:rsidRDefault="00932800" w14:paraId="10AC575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3</w:t>
            </w:r>
          </w:p>
        </w:tc>
        <w:tc>
          <w:tcPr>
            <w:tcW w:w="3120" w:type="dxa"/>
            <w:shd w:val="clear" w:color="auto" w:fill="D9EAD3"/>
            <w:tcMar>
              <w:top w:w="100" w:type="dxa"/>
              <w:left w:w="100" w:type="dxa"/>
              <w:bottom w:w="100" w:type="dxa"/>
              <w:right w:w="100" w:type="dxa"/>
            </w:tcMar>
          </w:tcPr>
          <w:p w:rsidR="00BE18C8" w:rsidP="1764C367" w:rsidRDefault="00932800" w14:paraId="3E9FD6EF"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12</w:t>
            </w:r>
          </w:p>
        </w:tc>
      </w:tr>
      <w:tr w:rsidR="00BE18C8" w:rsidTr="1764C367" w14:paraId="5B1E650D" w14:textId="77777777">
        <w:tc>
          <w:tcPr>
            <w:tcW w:w="3120" w:type="dxa"/>
            <w:shd w:val="clear" w:color="auto" w:fill="D9EAD3"/>
            <w:tcMar>
              <w:top w:w="100" w:type="dxa"/>
              <w:left w:w="100" w:type="dxa"/>
              <w:bottom w:w="100" w:type="dxa"/>
              <w:right w:w="100" w:type="dxa"/>
            </w:tcMar>
          </w:tcPr>
          <w:p w:rsidR="00BE18C8" w:rsidP="1764C367" w:rsidRDefault="00932800" w14:paraId="0D4D7F42"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Government and Economics</w:t>
            </w:r>
          </w:p>
        </w:tc>
        <w:tc>
          <w:tcPr>
            <w:tcW w:w="3120" w:type="dxa"/>
            <w:shd w:val="clear" w:color="auto" w:fill="D9EAD3"/>
            <w:tcMar>
              <w:top w:w="100" w:type="dxa"/>
              <w:left w:w="100" w:type="dxa"/>
              <w:bottom w:w="100" w:type="dxa"/>
              <w:right w:w="100" w:type="dxa"/>
            </w:tcMar>
          </w:tcPr>
          <w:p w:rsidR="00BE18C8" w:rsidP="1764C367" w:rsidRDefault="00932800" w14:paraId="7117C34B"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w:t>
            </w:r>
          </w:p>
        </w:tc>
        <w:tc>
          <w:tcPr>
            <w:tcW w:w="3120" w:type="dxa"/>
            <w:shd w:val="clear" w:color="auto" w:fill="D9EAD3"/>
            <w:tcMar>
              <w:top w:w="100" w:type="dxa"/>
              <w:left w:w="100" w:type="dxa"/>
              <w:bottom w:w="100" w:type="dxa"/>
              <w:right w:w="100" w:type="dxa"/>
            </w:tcMar>
          </w:tcPr>
          <w:p w:rsidR="00BE18C8" w:rsidP="1764C367" w:rsidRDefault="00932800" w14:paraId="37ABF68E"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4</w:t>
            </w:r>
          </w:p>
        </w:tc>
      </w:tr>
      <w:tr w:rsidR="00BE18C8" w:rsidTr="1764C367" w14:paraId="08770FCE" w14:textId="77777777">
        <w:tc>
          <w:tcPr>
            <w:tcW w:w="3120" w:type="dxa"/>
            <w:shd w:val="clear" w:color="auto" w:fill="D9EAD3"/>
            <w:tcMar>
              <w:top w:w="100" w:type="dxa"/>
              <w:left w:w="100" w:type="dxa"/>
              <w:bottom w:w="100" w:type="dxa"/>
              <w:right w:w="100" w:type="dxa"/>
            </w:tcMar>
          </w:tcPr>
          <w:p w:rsidR="00BE18C8" w:rsidP="1764C367" w:rsidRDefault="00932800" w14:paraId="381777CB"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Physical Education</w:t>
            </w:r>
          </w:p>
        </w:tc>
        <w:tc>
          <w:tcPr>
            <w:tcW w:w="3120" w:type="dxa"/>
            <w:shd w:val="clear" w:color="auto" w:fill="D9EAD3"/>
            <w:tcMar>
              <w:top w:w="100" w:type="dxa"/>
              <w:left w:w="100" w:type="dxa"/>
              <w:bottom w:w="100" w:type="dxa"/>
              <w:right w:w="100" w:type="dxa"/>
            </w:tcMar>
          </w:tcPr>
          <w:p w:rsidR="00BE18C8" w:rsidP="1764C367" w:rsidRDefault="00932800" w14:paraId="775B78F0"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1.5</w:t>
            </w:r>
          </w:p>
        </w:tc>
        <w:tc>
          <w:tcPr>
            <w:tcW w:w="3120" w:type="dxa"/>
            <w:shd w:val="clear" w:color="auto" w:fill="D9EAD3"/>
            <w:tcMar>
              <w:top w:w="100" w:type="dxa"/>
              <w:left w:w="100" w:type="dxa"/>
              <w:bottom w:w="100" w:type="dxa"/>
              <w:right w:w="100" w:type="dxa"/>
            </w:tcMar>
          </w:tcPr>
          <w:p w:rsidR="00BE18C8" w:rsidP="1764C367" w:rsidRDefault="00932800" w14:paraId="0B3B995C"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6</w:t>
            </w:r>
          </w:p>
        </w:tc>
      </w:tr>
      <w:tr w:rsidR="00BE18C8" w:rsidTr="1764C367" w14:paraId="77E5E723" w14:textId="77777777">
        <w:tc>
          <w:tcPr>
            <w:tcW w:w="3120" w:type="dxa"/>
            <w:shd w:val="clear" w:color="auto" w:fill="D9EAD3"/>
            <w:tcMar>
              <w:top w:w="100" w:type="dxa"/>
              <w:left w:w="100" w:type="dxa"/>
              <w:bottom w:w="100" w:type="dxa"/>
              <w:right w:w="100" w:type="dxa"/>
            </w:tcMar>
          </w:tcPr>
          <w:p w:rsidR="00BE18C8" w:rsidP="1764C367" w:rsidRDefault="00932800" w14:paraId="5AA5F9D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Health</w:t>
            </w:r>
          </w:p>
        </w:tc>
        <w:tc>
          <w:tcPr>
            <w:tcW w:w="3120" w:type="dxa"/>
            <w:shd w:val="clear" w:color="auto" w:fill="D9EAD3"/>
            <w:tcMar>
              <w:top w:w="100" w:type="dxa"/>
              <w:left w:w="100" w:type="dxa"/>
              <w:bottom w:w="100" w:type="dxa"/>
              <w:right w:w="100" w:type="dxa"/>
            </w:tcMar>
          </w:tcPr>
          <w:p w:rsidR="00BE18C8" w:rsidP="1764C367" w:rsidRDefault="00932800" w14:paraId="2C6ED386"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0.5</w:t>
            </w:r>
          </w:p>
        </w:tc>
        <w:tc>
          <w:tcPr>
            <w:tcW w:w="3120" w:type="dxa"/>
            <w:shd w:val="clear" w:color="auto" w:fill="D9EAD3"/>
            <w:tcMar>
              <w:top w:w="100" w:type="dxa"/>
              <w:left w:w="100" w:type="dxa"/>
              <w:bottom w:w="100" w:type="dxa"/>
              <w:right w:w="100" w:type="dxa"/>
            </w:tcMar>
          </w:tcPr>
          <w:p w:rsidR="00BE18C8" w:rsidP="1764C367" w:rsidRDefault="00932800" w14:paraId="32B57F6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2</w:t>
            </w:r>
          </w:p>
        </w:tc>
      </w:tr>
      <w:tr w:rsidR="00BE18C8" w:rsidTr="1764C367" w14:paraId="7D60C783" w14:textId="77777777">
        <w:tc>
          <w:tcPr>
            <w:tcW w:w="3120" w:type="dxa"/>
            <w:shd w:val="clear" w:color="auto" w:fill="D9EAD3"/>
            <w:tcMar>
              <w:top w:w="100" w:type="dxa"/>
              <w:left w:w="100" w:type="dxa"/>
              <w:bottom w:w="100" w:type="dxa"/>
              <w:right w:w="100" w:type="dxa"/>
            </w:tcMar>
          </w:tcPr>
          <w:p w:rsidR="00BE18C8" w:rsidP="1764C367" w:rsidRDefault="00932800" w14:paraId="49E11D8E"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Technical Foundations</w:t>
            </w:r>
          </w:p>
        </w:tc>
        <w:tc>
          <w:tcPr>
            <w:tcW w:w="3120" w:type="dxa"/>
            <w:shd w:val="clear" w:color="auto" w:fill="D9EAD3"/>
            <w:tcMar>
              <w:top w:w="100" w:type="dxa"/>
              <w:left w:w="100" w:type="dxa"/>
              <w:bottom w:w="100" w:type="dxa"/>
              <w:right w:w="100" w:type="dxa"/>
            </w:tcMar>
          </w:tcPr>
          <w:p w:rsidR="00BE18C8" w:rsidP="1764C367" w:rsidRDefault="00932800" w14:paraId="5C37A388"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2</w:t>
            </w:r>
          </w:p>
        </w:tc>
        <w:tc>
          <w:tcPr>
            <w:tcW w:w="3120" w:type="dxa"/>
            <w:shd w:val="clear" w:color="auto" w:fill="D9EAD3"/>
            <w:tcMar>
              <w:top w:w="100" w:type="dxa"/>
              <w:left w:w="100" w:type="dxa"/>
              <w:bottom w:w="100" w:type="dxa"/>
              <w:right w:w="100" w:type="dxa"/>
            </w:tcMar>
          </w:tcPr>
          <w:p w:rsidR="00BE18C8" w:rsidP="1764C367" w:rsidRDefault="00932800" w14:paraId="5D89752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8</w:t>
            </w:r>
          </w:p>
        </w:tc>
      </w:tr>
      <w:tr w:rsidR="00BE18C8" w:rsidTr="1764C367" w14:paraId="12E72EAF" w14:textId="77777777">
        <w:tc>
          <w:tcPr>
            <w:tcW w:w="3120" w:type="dxa"/>
            <w:shd w:val="clear" w:color="auto" w:fill="D9EAD3"/>
            <w:tcMar>
              <w:top w:w="100" w:type="dxa"/>
              <w:left w:w="100" w:type="dxa"/>
              <w:bottom w:w="100" w:type="dxa"/>
              <w:right w:w="100" w:type="dxa"/>
            </w:tcMar>
          </w:tcPr>
          <w:p w:rsidR="00BE18C8" w:rsidP="1764C367" w:rsidRDefault="00932800" w14:paraId="04D2E514" w14:textId="77777777">
            <w:pPr>
              <w:widowControl w:val="0"/>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Digital Art and Design</w:t>
            </w:r>
          </w:p>
        </w:tc>
        <w:tc>
          <w:tcPr>
            <w:tcW w:w="3120" w:type="dxa"/>
            <w:shd w:val="clear" w:color="auto" w:fill="D9EAD3"/>
            <w:tcMar>
              <w:top w:w="100" w:type="dxa"/>
              <w:left w:w="100" w:type="dxa"/>
              <w:bottom w:w="100" w:type="dxa"/>
              <w:right w:w="100" w:type="dxa"/>
            </w:tcMar>
          </w:tcPr>
          <w:p w:rsidR="00BE18C8" w:rsidP="1764C367" w:rsidRDefault="00932800" w14:paraId="29AAE6BD"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w:t>
            </w:r>
          </w:p>
        </w:tc>
        <w:tc>
          <w:tcPr>
            <w:tcW w:w="3120" w:type="dxa"/>
            <w:shd w:val="clear" w:color="auto" w:fill="D9EAD3"/>
            <w:tcMar>
              <w:top w:w="100" w:type="dxa"/>
              <w:left w:w="100" w:type="dxa"/>
              <w:bottom w:w="100" w:type="dxa"/>
              <w:right w:w="100" w:type="dxa"/>
            </w:tcMar>
          </w:tcPr>
          <w:p w:rsidR="00BE18C8" w:rsidP="1764C367" w:rsidRDefault="00932800" w14:paraId="1C62BC86"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4</w:t>
            </w:r>
          </w:p>
        </w:tc>
      </w:tr>
      <w:tr w:rsidR="00BE18C8" w:rsidTr="1764C367" w14:paraId="0B81ABFB" w14:textId="77777777">
        <w:tc>
          <w:tcPr>
            <w:tcW w:w="3120" w:type="dxa"/>
            <w:shd w:val="clear" w:color="auto" w:fill="FFF2CC"/>
            <w:tcMar>
              <w:top w:w="100" w:type="dxa"/>
              <w:left w:w="100" w:type="dxa"/>
              <w:bottom w:w="100" w:type="dxa"/>
              <w:right w:w="100" w:type="dxa"/>
            </w:tcMar>
          </w:tcPr>
          <w:p w:rsidR="00BE18C8" w:rsidP="1764C367" w:rsidRDefault="00932800" w14:paraId="49F6A66C" w14:textId="77777777">
            <w:pPr>
              <w:widowControl w:val="0"/>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Pathway Electives</w:t>
            </w:r>
          </w:p>
        </w:tc>
        <w:tc>
          <w:tcPr>
            <w:tcW w:w="3120" w:type="dxa"/>
            <w:shd w:val="clear" w:color="auto" w:fill="FFF2CC"/>
            <w:tcMar>
              <w:top w:w="100" w:type="dxa"/>
              <w:left w:w="100" w:type="dxa"/>
              <w:bottom w:w="100" w:type="dxa"/>
              <w:right w:w="100" w:type="dxa"/>
            </w:tcMar>
          </w:tcPr>
          <w:p w:rsidR="00BE18C8" w:rsidP="1764C367" w:rsidRDefault="00932800" w14:paraId="165B5594"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6</w:t>
            </w:r>
          </w:p>
        </w:tc>
        <w:tc>
          <w:tcPr>
            <w:tcW w:w="3120" w:type="dxa"/>
            <w:shd w:val="clear" w:color="auto" w:fill="FFF2CC"/>
            <w:tcMar>
              <w:top w:w="100" w:type="dxa"/>
              <w:left w:w="100" w:type="dxa"/>
              <w:bottom w:w="100" w:type="dxa"/>
              <w:right w:w="100" w:type="dxa"/>
            </w:tcMar>
          </w:tcPr>
          <w:p w:rsidR="00BE18C8" w:rsidP="1764C367" w:rsidRDefault="00932800" w14:paraId="48EEC82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24</w:t>
            </w:r>
          </w:p>
        </w:tc>
      </w:tr>
      <w:tr w:rsidR="00BE18C8" w:rsidTr="1764C367" w14:paraId="54BDF603" w14:textId="77777777">
        <w:tc>
          <w:tcPr>
            <w:tcW w:w="3120" w:type="dxa"/>
            <w:shd w:val="clear" w:color="auto" w:fill="auto"/>
            <w:tcMar>
              <w:top w:w="100" w:type="dxa"/>
              <w:left w:w="100" w:type="dxa"/>
              <w:bottom w:w="100" w:type="dxa"/>
              <w:right w:w="100" w:type="dxa"/>
            </w:tcMar>
          </w:tcPr>
          <w:p w:rsidR="00BE18C8" w:rsidP="1764C367" w:rsidRDefault="00932800" w14:paraId="08AF82EB" w14:textId="77777777">
            <w:pPr>
              <w:widowControl w:val="0"/>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General Electives</w:t>
            </w:r>
          </w:p>
        </w:tc>
        <w:tc>
          <w:tcPr>
            <w:tcW w:w="3120" w:type="dxa"/>
            <w:shd w:val="clear" w:color="auto" w:fill="auto"/>
            <w:tcMar>
              <w:top w:w="100" w:type="dxa"/>
              <w:left w:w="100" w:type="dxa"/>
              <w:bottom w:w="100" w:type="dxa"/>
              <w:right w:w="100" w:type="dxa"/>
            </w:tcMar>
          </w:tcPr>
          <w:p w:rsidR="00BE18C8" w:rsidP="1764C367" w:rsidRDefault="00932800" w14:paraId="503E36D4"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2</w:t>
            </w:r>
          </w:p>
        </w:tc>
        <w:tc>
          <w:tcPr>
            <w:tcW w:w="3120" w:type="dxa"/>
            <w:shd w:val="clear" w:color="auto" w:fill="auto"/>
            <w:tcMar>
              <w:top w:w="100" w:type="dxa"/>
              <w:left w:w="100" w:type="dxa"/>
              <w:bottom w:w="100" w:type="dxa"/>
              <w:right w:w="100" w:type="dxa"/>
            </w:tcMar>
          </w:tcPr>
          <w:p w:rsidR="00BE18C8" w:rsidP="1764C367" w:rsidRDefault="00932800" w14:paraId="7DCA4B76"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8</w:t>
            </w:r>
          </w:p>
        </w:tc>
      </w:tr>
      <w:tr w:rsidR="00BE18C8" w:rsidTr="1764C367" w14:paraId="775266B5" w14:textId="77777777">
        <w:tc>
          <w:tcPr>
            <w:tcW w:w="3120" w:type="dxa"/>
            <w:shd w:val="clear" w:color="auto" w:fill="9FC5E8"/>
            <w:tcMar>
              <w:top w:w="100" w:type="dxa"/>
              <w:left w:w="100" w:type="dxa"/>
              <w:bottom w:w="100" w:type="dxa"/>
              <w:right w:w="100" w:type="dxa"/>
            </w:tcMar>
          </w:tcPr>
          <w:p w:rsidR="00BE18C8" w:rsidP="1764C367" w:rsidRDefault="00932800" w14:paraId="1693AC95" w14:textId="77777777">
            <w:pPr>
              <w:widowControl w:val="0"/>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C3</w:t>
            </w:r>
          </w:p>
        </w:tc>
        <w:tc>
          <w:tcPr>
            <w:tcW w:w="3120" w:type="dxa"/>
            <w:shd w:val="clear" w:color="auto" w:fill="9FC5E8"/>
            <w:tcMar>
              <w:top w:w="100" w:type="dxa"/>
              <w:left w:w="100" w:type="dxa"/>
              <w:bottom w:w="100" w:type="dxa"/>
              <w:right w:w="100" w:type="dxa"/>
            </w:tcMar>
          </w:tcPr>
          <w:p w:rsidR="00BE18C8" w:rsidP="1764C367" w:rsidRDefault="00932800" w14:paraId="3A507B4A"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4</w:t>
            </w:r>
          </w:p>
        </w:tc>
        <w:tc>
          <w:tcPr>
            <w:tcW w:w="3120" w:type="dxa"/>
            <w:shd w:val="clear" w:color="auto" w:fill="9FC5E8"/>
            <w:tcMar>
              <w:top w:w="100" w:type="dxa"/>
              <w:left w:w="100" w:type="dxa"/>
              <w:bottom w:w="100" w:type="dxa"/>
              <w:right w:w="100" w:type="dxa"/>
            </w:tcMar>
          </w:tcPr>
          <w:p w:rsidR="00BE18C8" w:rsidP="1764C367" w:rsidRDefault="00932800" w14:paraId="3C969156"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434343"/>
                <w:sz w:val="24"/>
                <w:szCs w:val="24"/>
              </w:rPr>
            </w:pPr>
            <w:r w:rsidRPr="1764C367" w:rsidR="00932800">
              <w:rPr>
                <w:rFonts w:ascii="Times New Roman" w:hAnsi="Times New Roman" w:eastAsia="Times New Roman" w:cs="Times New Roman"/>
                <w:color w:val="434343"/>
                <w:sz w:val="24"/>
                <w:szCs w:val="24"/>
              </w:rPr>
              <w:t>12</w:t>
            </w:r>
          </w:p>
        </w:tc>
      </w:tr>
      <w:tr w:rsidR="00BE18C8" w:rsidTr="1764C367" w14:paraId="3C6BEB21" w14:textId="77777777">
        <w:tc>
          <w:tcPr>
            <w:tcW w:w="3120" w:type="dxa"/>
            <w:shd w:val="clear" w:color="auto" w:fill="auto"/>
            <w:tcMar>
              <w:top w:w="100" w:type="dxa"/>
              <w:left w:w="100" w:type="dxa"/>
              <w:bottom w:w="100" w:type="dxa"/>
              <w:right w:w="100" w:type="dxa"/>
            </w:tcMar>
          </w:tcPr>
          <w:p w:rsidR="00BE18C8" w:rsidP="1764C367" w:rsidRDefault="00932800" w14:paraId="2F3B1F1F" w14:textId="77777777">
            <w:pPr>
              <w:widowControl w:val="0"/>
              <w:spacing w:line="240" w:lineRule="auto"/>
              <w:rPr>
                <w:rFonts w:ascii="Times New Roman" w:hAnsi="Times New Roman" w:eastAsia="Times New Roman" w:cs="Times New Roman"/>
                <w:b w:val="1"/>
                <w:bCs w:val="1"/>
                <w:color w:val="434343"/>
                <w:sz w:val="24"/>
                <w:szCs w:val="24"/>
              </w:rPr>
            </w:pPr>
            <w:r w:rsidRPr="1764C367" w:rsidR="00932800">
              <w:rPr>
                <w:rFonts w:ascii="Times New Roman" w:hAnsi="Times New Roman" w:eastAsia="Times New Roman" w:cs="Times New Roman"/>
                <w:b w:val="1"/>
                <w:bCs w:val="1"/>
                <w:color w:val="434343"/>
                <w:sz w:val="24"/>
                <w:szCs w:val="24"/>
              </w:rPr>
              <w:t xml:space="preserve">Total </w:t>
            </w:r>
          </w:p>
        </w:tc>
        <w:tc>
          <w:tcPr>
            <w:tcW w:w="3120" w:type="dxa"/>
            <w:shd w:val="clear" w:color="auto" w:fill="auto"/>
            <w:tcMar>
              <w:top w:w="100" w:type="dxa"/>
              <w:left w:w="100" w:type="dxa"/>
              <w:bottom w:w="100" w:type="dxa"/>
              <w:right w:w="100" w:type="dxa"/>
            </w:tcMar>
          </w:tcPr>
          <w:p w:rsidR="00BE18C8" w:rsidP="1764C367" w:rsidRDefault="00932800" w14:paraId="0A25BB5C"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color w:val="434343"/>
                <w:sz w:val="24"/>
                <w:szCs w:val="24"/>
              </w:rPr>
            </w:pPr>
            <w:r w:rsidRPr="1764C367" w:rsidR="00932800">
              <w:rPr>
                <w:rFonts w:ascii="Times New Roman" w:hAnsi="Times New Roman" w:eastAsia="Times New Roman" w:cs="Times New Roman"/>
                <w:b w:val="1"/>
                <w:bCs w:val="1"/>
                <w:color w:val="434343"/>
                <w:sz w:val="24"/>
                <w:szCs w:val="24"/>
              </w:rPr>
              <w:t>26</w:t>
            </w:r>
          </w:p>
        </w:tc>
        <w:tc>
          <w:tcPr>
            <w:tcW w:w="3120" w:type="dxa"/>
            <w:shd w:val="clear" w:color="auto" w:fill="auto"/>
            <w:tcMar>
              <w:top w:w="100" w:type="dxa"/>
              <w:left w:w="100" w:type="dxa"/>
              <w:bottom w:w="100" w:type="dxa"/>
              <w:right w:w="100" w:type="dxa"/>
            </w:tcMar>
          </w:tcPr>
          <w:p w:rsidR="00BE18C8" w:rsidP="1764C367" w:rsidRDefault="00932800" w14:paraId="64917CC1"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color w:val="434343"/>
                <w:sz w:val="24"/>
                <w:szCs w:val="24"/>
              </w:rPr>
            </w:pPr>
            <w:r w:rsidRPr="1764C367" w:rsidR="00932800">
              <w:rPr>
                <w:rFonts w:ascii="Times New Roman" w:hAnsi="Times New Roman" w:eastAsia="Times New Roman" w:cs="Times New Roman"/>
                <w:b w:val="1"/>
                <w:bCs w:val="1"/>
                <w:color w:val="434343"/>
                <w:sz w:val="24"/>
                <w:szCs w:val="24"/>
              </w:rPr>
              <w:t>96</w:t>
            </w:r>
          </w:p>
        </w:tc>
      </w:tr>
    </w:tbl>
    <w:p w:rsidR="00BE18C8" w:rsidP="1764C367" w:rsidRDefault="00932800" w14:paraId="132823DD" w14:textId="77777777">
      <w:pPr>
        <w:pStyle w:val="Heading3"/>
        <w:keepNext w:val="0"/>
        <w:keepLines w:val="0"/>
        <w:widowControl w:val="0"/>
        <w:spacing w:before="0" w:after="0" w:line="240" w:lineRule="auto"/>
        <w:jc w:val="center"/>
        <w:rPr>
          <w:rFonts w:ascii="Times New Roman" w:hAnsi="Times New Roman" w:eastAsia="Times New Roman" w:cs="Times New Roman"/>
        </w:rPr>
      </w:pPr>
      <w:bookmarkStart w:name="_o3l930gkf1uw" w:id="0"/>
      <w:bookmarkEnd w:id="0"/>
      <w:r w:rsidRPr="1764C367" w:rsidR="00932800">
        <w:rPr>
          <w:rFonts w:ascii="Times New Roman" w:hAnsi="Times New Roman" w:eastAsia="Times New Roman" w:cs="Times New Roman"/>
        </w:rPr>
        <w:t>Seminar Grading</w:t>
      </w:r>
    </w:p>
    <w:p w:rsidR="00BE18C8" w:rsidP="1764C367" w:rsidRDefault="00BE18C8" w14:paraId="05F484B8" w14:textId="77777777">
      <w:pPr>
        <w:rPr>
          <w:rFonts w:ascii="Times New Roman" w:hAnsi="Times New Roman" w:eastAsia="Times New Roman" w:cs="Times New Roman"/>
        </w:rPr>
      </w:pPr>
    </w:p>
    <w:p w:rsidR="00BE18C8" w:rsidRDefault="00932800" w14:paraId="10943980" w14:textId="77777777">
      <w:r>
        <w:rPr>
          <w:noProof/>
        </w:rPr>
        <mc:AlternateContent>
          <mc:Choice Requires="wpg">
            <w:drawing>
              <wp:inline distT="114300" distB="114300" distL="114300" distR="114300" wp14:anchorId="3BF0FCF9" wp14:editId="20B8A86C">
                <wp:extent cx="5943315" cy="2154870"/>
                <wp:effectExtent l="0" t="0" r="635" b="0"/>
                <wp:docPr id="1" name=""/>
                <wp:cNvGraphicFramePr/>
                <a:graphic xmlns:a="http://schemas.openxmlformats.org/drawingml/2006/main">
                  <a:graphicData uri="http://schemas.microsoft.com/office/word/2010/wordprocessingGroup">
                    <wpg:wgp>
                      <wpg:cNvGrpSpPr/>
                      <wpg:grpSpPr>
                        <a:xfrm>
                          <a:off x="0" y="0"/>
                          <a:ext cx="5943315" cy="2154870"/>
                          <a:chOff x="935050" y="516250"/>
                          <a:chExt cx="6954417" cy="2503973"/>
                        </a:xfrm>
                      </wpg:grpSpPr>
                      <wps:wsp>
                        <wps:cNvPr id="16" name="Text Box 16"/>
                        <wps:cNvSpPr txBox="1"/>
                        <wps:spPr>
                          <a:xfrm>
                            <a:off x="935050" y="516250"/>
                            <a:ext cx="1295064" cy="450068"/>
                          </a:xfrm>
                          <a:prstGeom prst="rect">
                            <a:avLst/>
                          </a:prstGeom>
                          <a:noFill/>
                          <a:ln>
                            <a:noFill/>
                          </a:ln>
                        </wps:spPr>
                        <wps:txbx>
                          <w:txbxContent>
                            <w:p w:rsidR="00BE18C8" w:rsidRDefault="00932800" w14:paraId="71B06946" w14:textId="77777777">
                              <w:pPr>
                                <w:spacing w:line="240" w:lineRule="auto"/>
                                <w:textDirection w:val="btLr"/>
                              </w:pPr>
                              <w:r>
                                <w:rPr>
                                  <w:color w:val="000000"/>
                                  <w:sz w:val="28"/>
                                </w:rPr>
                                <w:t>Summative</w:t>
                              </w:r>
                            </w:p>
                          </w:txbxContent>
                        </wps:txbx>
                        <wps:bodyPr spcFirstLastPara="1" wrap="square" lIns="91425" tIns="91425" rIns="91425" bIns="91425" anchor="t" anchorCtr="0">
                          <a:spAutoFit/>
                        </wps:bodyPr>
                      </wps:wsp>
                      <wps:wsp>
                        <wps:cNvPr id="17" name="Text Box 17"/>
                        <wps:cNvSpPr txBox="1"/>
                        <wps:spPr>
                          <a:xfrm>
                            <a:off x="5269166" y="516250"/>
                            <a:ext cx="1294321" cy="450068"/>
                          </a:xfrm>
                          <a:prstGeom prst="rect">
                            <a:avLst/>
                          </a:prstGeom>
                          <a:noFill/>
                          <a:ln>
                            <a:noFill/>
                          </a:ln>
                        </wps:spPr>
                        <wps:txbx>
                          <w:txbxContent>
                            <w:p w:rsidR="00BE18C8" w:rsidRDefault="00932800" w14:paraId="430A233A" w14:textId="77777777">
                              <w:pPr>
                                <w:spacing w:line="240" w:lineRule="auto"/>
                                <w:textDirection w:val="btLr"/>
                              </w:pPr>
                              <w:r>
                                <w:rPr>
                                  <w:color w:val="000000"/>
                                  <w:sz w:val="28"/>
                                </w:rPr>
                                <w:t>Formative</w:t>
                              </w:r>
                            </w:p>
                          </w:txbxContent>
                        </wps:txbx>
                        <wps:bodyPr spcFirstLastPara="1" wrap="square" lIns="91425" tIns="91425" rIns="91425" bIns="91425" anchor="t" anchorCtr="0">
                          <a:spAutoFit/>
                        </wps:bodyPr>
                      </wps:wsp>
                      <wps:wsp>
                        <wps:cNvPr id="18" name="Text Box 18"/>
                        <wps:cNvSpPr txBox="1"/>
                        <wps:spPr>
                          <a:xfrm>
                            <a:off x="935050" y="974870"/>
                            <a:ext cx="2834620" cy="2045353"/>
                          </a:xfrm>
                          <a:prstGeom prst="rect">
                            <a:avLst/>
                          </a:prstGeom>
                          <a:noFill/>
                          <a:ln>
                            <a:noFill/>
                          </a:ln>
                        </wps:spPr>
                        <wps:txbx>
                          <w:txbxContent>
                            <w:p w:rsidR="00BE18C8" w:rsidRDefault="00932800" w14:paraId="5DC4966A" w14:textId="20439F98">
                              <w:pPr>
                                <w:spacing w:line="240" w:lineRule="auto"/>
                                <w:textDirection w:val="btLr"/>
                              </w:pPr>
                              <w:r>
                                <w:rPr>
                                  <w:color w:val="000000"/>
                                  <w:sz w:val="18"/>
                                </w:rPr>
                                <w:t xml:space="preserve">These are cumulative assessment measures that students align to competencies. These could be research papers, projects, or an authentic learning experience. Students will work with their seminar teacher and C3 advisor to align competencies.  Students will </w:t>
                              </w:r>
                              <w:r>
                                <w:rPr>
                                  <w:color w:val="000000"/>
                                  <w:sz w:val="18"/>
                                </w:rPr>
                                <w:t>be assessed by using the project as evidence of their learning.   Teachers will assess using a rubric for each aligned competency</w:t>
                              </w:r>
                              <w:r>
                                <w:rPr>
                                  <w:color w:val="000000"/>
                                  <w:sz w:val="18"/>
                                </w:rPr>
                                <w:t>.  Proficiency will be met when the student achieves a 3 or higher on a competency.</w:t>
                              </w:r>
                            </w:p>
                          </w:txbxContent>
                        </wps:txbx>
                        <wps:bodyPr spcFirstLastPara="1" wrap="square" lIns="91425" tIns="91425" rIns="91425" bIns="91425" anchor="t" anchorCtr="0">
                          <a:spAutoFit/>
                        </wps:bodyPr>
                      </wps:wsp>
                      <wps:wsp>
                        <wps:cNvPr id="19" name="Text Box 19"/>
                        <wps:cNvSpPr txBox="1"/>
                        <wps:spPr>
                          <a:xfrm>
                            <a:off x="5347600" y="974832"/>
                            <a:ext cx="2541867" cy="1434392"/>
                          </a:xfrm>
                          <a:prstGeom prst="rect">
                            <a:avLst/>
                          </a:prstGeom>
                          <a:noFill/>
                          <a:ln>
                            <a:noFill/>
                          </a:ln>
                        </wps:spPr>
                        <wps:txbx>
                          <w:txbxContent>
                            <w:p w:rsidR="00BE18C8" w:rsidRDefault="00932800" w14:paraId="6575EF66" w14:textId="77777777">
                              <w:pPr>
                                <w:spacing w:line="240" w:lineRule="auto"/>
                                <w:textDirection w:val="btLr"/>
                              </w:pPr>
                              <w:r>
                                <w:rPr>
                                  <w:color w:val="000000"/>
                                  <w:sz w:val="18"/>
                                </w:rPr>
                                <w:t>These are moment in time learning exper</w:t>
                              </w:r>
                              <w:r>
                                <w:rPr>
                                  <w:color w:val="000000"/>
                                  <w:sz w:val="18"/>
                                </w:rPr>
                                <w:t xml:space="preserve">iences that allow student the opportunity for feedback on the content as they are developing summative projects. These are not graded, but rather students are given feedback from the teacher to improve performance. </w:t>
                              </w:r>
                            </w:p>
                          </w:txbxContent>
                        </wps:txbx>
                        <wps:bodyPr spcFirstLastPara="1" wrap="square" lIns="91425" tIns="91425" rIns="91425" bIns="91425" anchor="t" anchorCtr="0">
                          <a:spAutoFit/>
                        </wps:bodyPr>
                      </wps:wsp>
                    </wpg:wgp>
                  </a:graphicData>
                </a:graphic>
              </wp:inline>
            </w:drawing>
          </mc:Choice>
          <mc:Fallback>
            <w:pict>
              <v:group id="_x0000_s1040" style="width:468pt;height:169.65pt;mso-position-horizontal-relative:char;mso-position-vertical-relative:line" coordsize="69544,25039" coordorigin="9350,5162" w14:anchorId="3BF0F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">
                <v:shape id="Text Box 16" style="position:absolute;left:9350;top:5162;width:12951;height:450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">
                  <v:textbox style="mso-fit-shape-to-text:t" inset="2.53958mm,2.53958mm,2.53958mm,2.53958mm">
                    <w:txbxContent>
                      <w:p w:rsidR="00BE18C8" w:rsidRDefault="00932800" w14:paraId="71B06946" w14:textId="77777777">
                        <w:pPr>
                          <w:spacing w:line="240" w:lineRule="auto"/>
                          <w:textDirection w:val="btLr"/>
                        </w:pPr>
                        <w:r>
                          <w:rPr>
                            <w:color w:val="000000"/>
                            <w:sz w:val="28"/>
                          </w:rPr>
                          <w:t>Summative</w:t>
                        </w:r>
                      </w:p>
                    </w:txbxContent>
                  </v:textbox>
                </v:shape>
                <v:shape id="Text Box 17" style="position:absolute;left:52691;top:5162;width:12943;height:4501;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">
                  <v:textbox style="mso-fit-shape-to-text:t" inset="2.53958mm,2.53958mm,2.53958mm,2.53958mm">
                    <w:txbxContent>
                      <w:p w:rsidR="00BE18C8" w:rsidRDefault="00932800" w14:paraId="430A233A" w14:textId="77777777">
                        <w:pPr>
                          <w:spacing w:line="240" w:lineRule="auto"/>
                          <w:textDirection w:val="btLr"/>
                        </w:pPr>
                        <w:r>
                          <w:rPr>
                            <w:color w:val="000000"/>
                            <w:sz w:val="28"/>
                          </w:rPr>
                          <w:t>Formative</w:t>
                        </w:r>
                      </w:p>
                    </w:txbxContent>
                  </v:textbox>
                </v:shape>
                <v:shape id="Text Box 18" style="position:absolute;left:9350;top:9748;width:28346;height:20454;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">
                  <v:textbox style="mso-fit-shape-to-text:t" inset="2.53958mm,2.53958mm,2.53958mm,2.53958mm">
                    <w:txbxContent>
                      <w:p w:rsidR="00BE18C8" w:rsidRDefault="00932800" w14:paraId="5DC4966A" w14:textId="20439F98">
                        <w:pPr>
                          <w:spacing w:line="240" w:lineRule="auto"/>
                          <w:textDirection w:val="btLr"/>
                        </w:pPr>
                        <w:r>
                          <w:rPr>
                            <w:color w:val="000000"/>
                            <w:sz w:val="18"/>
                          </w:rPr>
                          <w:t xml:space="preserve">These are cumulative assessment measures that students align to competencies. These could be research papers, projects, or an authentic learning experience. Students will work with their seminar teacher and C3 advisor to align competencies.  Students will </w:t>
                        </w:r>
                        <w:r>
                          <w:rPr>
                            <w:color w:val="000000"/>
                            <w:sz w:val="18"/>
                          </w:rPr>
                          <w:t>be assessed by using the project as evidence of their learning.   Teachers will assess using a rubric for each aligned competency</w:t>
                        </w:r>
                        <w:r>
                          <w:rPr>
                            <w:color w:val="000000"/>
                            <w:sz w:val="18"/>
                          </w:rPr>
                          <w:t>.  Proficiency will be met when the student achieves a 3 or higher on a competency.</w:t>
                        </w:r>
                      </w:p>
                    </w:txbxContent>
                  </v:textbox>
                </v:shape>
                <v:shape id="Text Box 19" style="position:absolute;left:53476;top:9748;width:25418;height:14344;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">
                  <v:textbox style="mso-fit-shape-to-text:t" inset="2.53958mm,2.53958mm,2.53958mm,2.53958mm">
                    <w:txbxContent>
                      <w:p w:rsidR="00BE18C8" w:rsidRDefault="00932800" w14:paraId="6575EF66" w14:textId="77777777">
                        <w:pPr>
                          <w:spacing w:line="240" w:lineRule="auto"/>
                          <w:textDirection w:val="btLr"/>
                        </w:pPr>
                        <w:r>
                          <w:rPr>
                            <w:color w:val="000000"/>
                            <w:sz w:val="18"/>
                          </w:rPr>
                          <w:t>These are moment in time learning exper</w:t>
                        </w:r>
                        <w:r>
                          <w:rPr>
                            <w:color w:val="000000"/>
                            <w:sz w:val="18"/>
                          </w:rPr>
                          <w:t xml:space="preserve">iences that allow student the opportunity for feedback on the content as they are developing summative projects. These are not graded, but rather students are given feedback from the teacher to improve performance. </w:t>
                        </w:r>
                      </w:p>
                    </w:txbxContent>
                  </v:textbox>
                </v:shape>
                <w10:anchorlock/>
              </v:group>
            </w:pict>
          </mc:Fallback>
        </mc:AlternateContent>
      </w:r>
    </w:p>
    <w:p w:rsidR="5493F4DA" w:rsidP="7637BE97" w:rsidRDefault="5493F4DA" w14:paraId="4E474821" w14:textId="23CC750E">
      <w:pPr>
        <w:pStyle w:val="Normal"/>
      </w:pPr>
      <w:r w:rsidR="5493F4DA">
        <w:rPr/>
        <w:t>Adopted 8/23/21</w:t>
      </w:r>
    </w:p>
    <w:p w:rsidR="5493F4DA" w:rsidP="7637BE97" w:rsidRDefault="5493F4DA" w14:paraId="26D149F0" w14:textId="41D765A4">
      <w:pPr>
        <w:pStyle w:val="Normal"/>
      </w:pPr>
      <w:r w:rsidR="5493F4DA">
        <w:rPr/>
        <w:t>Revised 2/27/23</w:t>
      </w:r>
    </w:p>
    <w:sectPr w:rsidR="00BE18C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788ec5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9E29C8"/>
    <w:multiLevelType w:val="hybridMultilevel"/>
    <w:tmpl w:val="5AC0F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FBF50A0"/>
    <w:multiLevelType w:val="hybridMultilevel"/>
    <w:tmpl w:val="806656F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3">
    <w:abstractNumId w:val="2"/>
  </w:num>
  <w:num w:numId="1" w16cid:durableId="376664087">
    <w:abstractNumId w:val="1"/>
  </w:num>
  <w:num w:numId="2" w16cid:durableId="20270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C8"/>
    <w:rsid w:val="00932800"/>
    <w:rsid w:val="00BE18C8"/>
    <w:rsid w:val="026DE385"/>
    <w:rsid w:val="02F23845"/>
    <w:rsid w:val="07BDCDC3"/>
    <w:rsid w:val="092ECF75"/>
    <w:rsid w:val="0ADC4628"/>
    <w:rsid w:val="0BE1F0C1"/>
    <w:rsid w:val="0C667037"/>
    <w:rsid w:val="0C9A1048"/>
    <w:rsid w:val="0F89612B"/>
    <w:rsid w:val="10C0F1D3"/>
    <w:rsid w:val="116FC6EC"/>
    <w:rsid w:val="12E78305"/>
    <w:rsid w:val="1449096C"/>
    <w:rsid w:val="15B6DC49"/>
    <w:rsid w:val="1764C367"/>
    <w:rsid w:val="19539E60"/>
    <w:rsid w:val="1AA650C1"/>
    <w:rsid w:val="1D81FD46"/>
    <w:rsid w:val="1E31F83A"/>
    <w:rsid w:val="1FE3985F"/>
    <w:rsid w:val="2B534722"/>
    <w:rsid w:val="2B5E03F6"/>
    <w:rsid w:val="2BFA2615"/>
    <w:rsid w:val="3086B6E3"/>
    <w:rsid w:val="335255F8"/>
    <w:rsid w:val="38199DEC"/>
    <w:rsid w:val="3B156435"/>
    <w:rsid w:val="3BEF9350"/>
    <w:rsid w:val="3C0139A2"/>
    <w:rsid w:val="3C2392CA"/>
    <w:rsid w:val="3C350C28"/>
    <w:rsid w:val="3FEB2214"/>
    <w:rsid w:val="40677BB1"/>
    <w:rsid w:val="42434973"/>
    <w:rsid w:val="438AE77B"/>
    <w:rsid w:val="46AE9B7E"/>
    <w:rsid w:val="46B71620"/>
    <w:rsid w:val="479DE174"/>
    <w:rsid w:val="48DC286C"/>
    <w:rsid w:val="4AC915BF"/>
    <w:rsid w:val="4C032617"/>
    <w:rsid w:val="4E98C074"/>
    <w:rsid w:val="4FAD7056"/>
    <w:rsid w:val="53613986"/>
    <w:rsid w:val="5493F4DA"/>
    <w:rsid w:val="54A30EE3"/>
    <w:rsid w:val="58687D2F"/>
    <w:rsid w:val="5AE7270F"/>
    <w:rsid w:val="5C264612"/>
    <w:rsid w:val="5E1EC7D1"/>
    <w:rsid w:val="610C463D"/>
    <w:rsid w:val="61D891BE"/>
    <w:rsid w:val="6235821A"/>
    <w:rsid w:val="63D1527B"/>
    <w:rsid w:val="67D6938B"/>
    <w:rsid w:val="6927DE58"/>
    <w:rsid w:val="6EA8D520"/>
    <w:rsid w:val="70237D14"/>
    <w:rsid w:val="705DCDDE"/>
    <w:rsid w:val="71E9D1F0"/>
    <w:rsid w:val="757EC7B5"/>
    <w:rsid w:val="7637BE97"/>
    <w:rsid w:val="77A1B809"/>
    <w:rsid w:val="7C72DEDA"/>
    <w:rsid w:val="7FA1158B"/>
    <w:rsid w:val="7FF69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8378"/>
  <w15:docId w15:val="{84A109F8-5511-4E65-BBA0-F7D9C4BA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Angela Andersson</DisplayName>
        <AccountId>10</AccountId>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6AA8A056-877E-4353-ADD9-9B2E291CAF38}"/>
</file>

<file path=customXml/itemProps2.xml><?xml version="1.0" encoding="utf-8"?>
<ds:datastoreItem xmlns:ds="http://schemas.openxmlformats.org/officeDocument/2006/customXml" ds:itemID="{C3DF5ADB-C7FF-4A85-94BE-5D6415818D9C}">
  <ds:schemaRefs>
    <ds:schemaRef ds:uri="http://schemas.microsoft.com/sharepoint/v3/contenttype/forms"/>
  </ds:schemaRefs>
</ds:datastoreItem>
</file>

<file path=customXml/itemProps3.xml><?xml version="1.0" encoding="utf-8"?>
<ds:datastoreItem xmlns:ds="http://schemas.openxmlformats.org/officeDocument/2006/customXml" ds:itemID="{F8AD2CEE-D1C1-4A17-81E1-808097DBD542}">
  <ds:schemaRefs>
    <ds:schemaRef ds:uri="http://purl.org/dc/dcmitype/"/>
    <ds:schemaRef ds:uri="http://schemas.microsoft.com/office/2006/metadata/properties"/>
    <ds:schemaRef ds:uri="http://purl.org/dc/elements/1.1/"/>
    <ds:schemaRef ds:uri="1041322c-be9d-4f5e-aad5-74482af103d6"/>
    <ds:schemaRef ds:uri="http://www.w3.org/XML/1998/namespace"/>
    <ds:schemaRef ds:uri="http://schemas.microsoft.com/office/2006/documentManagement/types"/>
    <ds:schemaRef ds:uri="1fade095-826a-4ac3-bc18-2802a31e7616"/>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Peggy  Schofield</cp:lastModifiedBy>
  <cp:revision>11</cp:revision>
  <dcterms:created xsi:type="dcterms:W3CDTF">2022-08-24T17:08:00Z</dcterms:created>
  <dcterms:modified xsi:type="dcterms:W3CDTF">2023-03-07T20:47:26Z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12300</vt:r8>
  </property>
</Properties>
</file>